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976"/>
        <w:gridCol w:w="976"/>
        <w:gridCol w:w="2453"/>
        <w:gridCol w:w="3260"/>
        <w:gridCol w:w="3178"/>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7"/>
            <w:vAlign w:val="center"/>
          </w:tcPr>
          <w:p>
            <w:pPr>
              <w:widowControl/>
              <w:jc w:val="center"/>
              <w:textAlignment w:val="center"/>
              <w:rPr>
                <w:rFonts w:ascii="仿宋" w:hAnsi="仿宋" w:eastAsia="仿宋" w:cs="黑体"/>
                <w:kern w:val="0"/>
                <w:sz w:val="32"/>
                <w:szCs w:val="32"/>
              </w:rPr>
            </w:pPr>
            <w:r>
              <w:rPr>
                <w:rFonts w:hint="eastAsia" w:asciiTheme="majorEastAsia" w:hAnsiTheme="majorEastAsia" w:eastAsiaTheme="majorEastAsia"/>
                <w:sz w:val="32"/>
                <w:szCs w:val="32"/>
              </w:rPr>
              <w:t>景德镇</w:t>
            </w:r>
            <w:r>
              <w:rPr>
                <w:rFonts w:hint="eastAsia" w:asciiTheme="majorEastAsia" w:hAnsiTheme="majorEastAsia" w:eastAsiaTheme="majorEastAsia"/>
                <w:sz w:val="32"/>
                <w:szCs w:val="32"/>
                <w:lang w:eastAsia="zh-CN"/>
              </w:rPr>
              <w:t>市</w:t>
            </w:r>
            <w:r>
              <w:rPr>
                <w:rFonts w:hint="eastAsia" w:asciiTheme="majorEastAsia" w:hAnsiTheme="majorEastAsia" w:eastAsiaTheme="majorEastAsia"/>
                <w:sz w:val="32"/>
                <w:szCs w:val="32"/>
              </w:rPr>
              <w:t>气象局安全生产责任清单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序号</w:t>
            </w:r>
          </w:p>
        </w:tc>
        <w:tc>
          <w:tcPr>
            <w:tcW w:w="976" w:type="dxa"/>
            <w:vAlign w:val="center"/>
          </w:tcPr>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责任</w:t>
            </w:r>
          </w:p>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部门</w:t>
            </w:r>
          </w:p>
        </w:tc>
        <w:tc>
          <w:tcPr>
            <w:tcW w:w="976" w:type="dxa"/>
            <w:vAlign w:val="center"/>
          </w:tcPr>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部门</w:t>
            </w:r>
          </w:p>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职责</w:t>
            </w:r>
          </w:p>
        </w:tc>
        <w:tc>
          <w:tcPr>
            <w:tcW w:w="2453" w:type="dxa"/>
            <w:vAlign w:val="center"/>
          </w:tcPr>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依据</w:t>
            </w:r>
          </w:p>
        </w:tc>
        <w:tc>
          <w:tcPr>
            <w:tcW w:w="3260" w:type="dxa"/>
            <w:vAlign w:val="center"/>
          </w:tcPr>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工作事项</w:t>
            </w:r>
          </w:p>
        </w:tc>
        <w:tc>
          <w:tcPr>
            <w:tcW w:w="3178" w:type="dxa"/>
            <w:vAlign w:val="center"/>
          </w:tcPr>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与相关部门</w:t>
            </w:r>
          </w:p>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的职责边界</w:t>
            </w:r>
          </w:p>
        </w:tc>
        <w:tc>
          <w:tcPr>
            <w:tcW w:w="2270" w:type="dxa"/>
            <w:vAlign w:val="center"/>
          </w:tcPr>
          <w:p>
            <w:pPr>
              <w:autoSpaceDE w:val="0"/>
              <w:autoSpaceDN w:val="0"/>
              <w:adjustRightInd w:val="0"/>
              <w:spacing w:line="240" w:lineRule="exact"/>
              <w:jc w:val="center"/>
              <w:rPr>
                <w:rFonts w:ascii="仿宋" w:hAnsi="仿宋" w:eastAsia="仿宋" w:cs="黑体"/>
                <w:b/>
                <w:bCs/>
                <w:kern w:val="0"/>
                <w:sz w:val="24"/>
                <w:szCs w:val="24"/>
              </w:rPr>
            </w:pPr>
            <w:r>
              <w:rPr>
                <w:rFonts w:hint="eastAsia" w:ascii="仿宋" w:hAnsi="仿宋" w:eastAsia="仿宋" w:cs="黑体"/>
                <w:b/>
                <w:bCs/>
                <w:kern w:val="0"/>
                <w:sz w:val="24"/>
                <w:szCs w:val="24"/>
              </w:rPr>
              <w:t>不履职或不正确履职责任情形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1</w:t>
            </w:r>
          </w:p>
        </w:tc>
        <w:tc>
          <w:tcPr>
            <w:tcW w:w="976" w:type="dxa"/>
            <w:vAlign w:val="center"/>
          </w:tcPr>
          <w:p>
            <w:pPr>
              <w:widowControl/>
              <w:spacing w:line="240" w:lineRule="exact"/>
              <w:ind w:right="-105"/>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市气象局</w:t>
            </w:r>
          </w:p>
        </w:tc>
        <w:tc>
          <w:tcPr>
            <w:tcW w:w="976"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气象灾害防御</w:t>
            </w:r>
          </w:p>
        </w:tc>
        <w:tc>
          <w:tcPr>
            <w:tcW w:w="2453" w:type="dxa"/>
            <w:vAlign w:val="center"/>
          </w:tcPr>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1．《中华人民共和国气象法》</w:t>
            </w:r>
          </w:p>
          <w:p>
            <w:pPr>
              <w:widowControl/>
              <w:spacing w:line="240" w:lineRule="exact"/>
              <w:jc w:val="both"/>
              <w:rPr>
                <w:rFonts w:hint="eastAsia" w:ascii="仿宋" w:hAnsi="仿宋" w:eastAsia="仿宋" w:cs="仿宋"/>
                <w:kern w:val="0"/>
                <w:sz w:val="21"/>
                <w:szCs w:val="21"/>
              </w:rPr>
            </w:pPr>
            <w:r>
              <w:rPr>
                <w:rFonts w:hint="eastAsia" w:ascii="仿宋" w:hAnsi="仿宋" w:eastAsia="仿宋" w:cs="仿宋"/>
                <w:color w:val="000000"/>
                <w:kern w:val="0"/>
                <w:sz w:val="21"/>
                <w:szCs w:val="21"/>
              </w:rPr>
              <w:t>2．《气象灾害防御条例》(国务院令第570号)。</w:t>
            </w:r>
          </w:p>
        </w:tc>
        <w:tc>
          <w:tcPr>
            <w:tcW w:w="3260"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1、负责组织开展灾害性天气的监测、预报、预警及信息统一发布工作。</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2、指导监督天气防御重点单位做好相关安全生产工作。</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3、负责事故灾难应急救援过程中的气象监测和气象预报工作。</w:t>
            </w:r>
          </w:p>
          <w:p>
            <w:pPr>
              <w:widowControl/>
              <w:spacing w:line="240" w:lineRule="exact"/>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4、按照法律法规和应急预案的要求做好气象灾害防御其他相关工作。</w:t>
            </w:r>
          </w:p>
        </w:tc>
        <w:tc>
          <w:tcPr>
            <w:tcW w:w="3178" w:type="dxa"/>
            <w:vAlign w:val="center"/>
          </w:tcPr>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1、信息产业部门应当与气象主管机构密切配合，确保气象通信畅通，准确、及时地传递气象情报、气象预报和灾害性天气警报。</w:t>
            </w:r>
          </w:p>
          <w:p>
            <w:pPr>
              <w:widowControl/>
              <w:spacing w:line="240" w:lineRule="exact"/>
              <w:jc w:val="both"/>
              <w:rPr>
                <w:rFonts w:hint="eastAsia" w:ascii="仿宋" w:hAnsi="仿宋" w:eastAsia="仿宋" w:cs="仿宋"/>
                <w:sz w:val="21"/>
                <w:szCs w:val="21"/>
              </w:rPr>
            </w:pPr>
            <w:r>
              <w:rPr>
                <w:rFonts w:hint="eastAsia" w:ascii="仿宋" w:hAnsi="仿宋" w:eastAsia="仿宋" w:cs="仿宋"/>
                <w:color w:val="000000"/>
                <w:kern w:val="0"/>
                <w:sz w:val="21"/>
                <w:szCs w:val="21"/>
              </w:rPr>
              <w:t>2、其他有关单位按照法律法规规章和应急预案的要求做好气象灾害防御相关工作。</w:t>
            </w:r>
          </w:p>
        </w:tc>
        <w:tc>
          <w:tcPr>
            <w:tcW w:w="2270" w:type="dxa"/>
            <w:vAlign w:val="center"/>
          </w:tcPr>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1、各级气象主管机构及其所属气象台站的工作人员由于玩忽职守，导致重大漏报、错报公众气象预报、灾害性天气警报。</w:t>
            </w:r>
          </w:p>
          <w:p>
            <w:pPr>
              <w:widowControl/>
              <w:spacing w:line="240" w:lineRule="exact"/>
              <w:jc w:val="both"/>
              <w:rPr>
                <w:rFonts w:hint="eastAsia" w:ascii="仿宋" w:hAnsi="仿宋" w:eastAsia="仿宋" w:cs="仿宋"/>
                <w:kern w:val="0"/>
                <w:sz w:val="21"/>
                <w:szCs w:val="21"/>
              </w:rPr>
            </w:pPr>
            <w:r>
              <w:rPr>
                <w:rFonts w:hint="eastAsia" w:ascii="仿宋" w:hAnsi="仿宋" w:eastAsia="仿宋" w:cs="仿宋"/>
                <w:color w:val="000000"/>
                <w:kern w:val="0"/>
                <w:sz w:val="21"/>
                <w:szCs w:val="21"/>
              </w:rPr>
              <w:t>2、对非法发布、违法传播灾害性天气预警信息等违法行为查处不力,造成重大影响的。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2</w:t>
            </w:r>
          </w:p>
        </w:tc>
        <w:tc>
          <w:tcPr>
            <w:tcW w:w="976" w:type="dxa"/>
            <w:vAlign w:val="center"/>
          </w:tcPr>
          <w:p>
            <w:pPr>
              <w:widowControl/>
              <w:spacing w:line="240" w:lineRule="exact"/>
              <w:ind w:right="-105"/>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市气象局</w:t>
            </w:r>
          </w:p>
        </w:tc>
        <w:tc>
          <w:tcPr>
            <w:tcW w:w="976"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防雷安全监督管理</w:t>
            </w:r>
          </w:p>
        </w:tc>
        <w:tc>
          <w:tcPr>
            <w:tcW w:w="2453" w:type="dxa"/>
            <w:vAlign w:val="center"/>
          </w:tcPr>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1.《中华人民共和国气象法》。</w:t>
            </w:r>
          </w:p>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2.《防雷装置设计审核和竣工验收规定》（中国气象局第21号令）。</w:t>
            </w:r>
          </w:p>
          <w:p>
            <w:pPr>
              <w:widowControl/>
              <w:spacing w:line="240" w:lineRule="exact"/>
              <w:jc w:val="both"/>
              <w:rPr>
                <w:rFonts w:hint="eastAsia" w:ascii="仿宋" w:hAnsi="仿宋" w:eastAsia="仿宋" w:cs="仿宋"/>
                <w:kern w:val="0"/>
                <w:sz w:val="21"/>
                <w:szCs w:val="21"/>
              </w:rPr>
            </w:pPr>
            <w:r>
              <w:rPr>
                <w:rFonts w:hint="eastAsia" w:ascii="仿宋" w:hAnsi="仿宋" w:eastAsia="仿宋" w:cs="仿宋"/>
                <w:color w:val="000000"/>
                <w:kern w:val="0"/>
                <w:sz w:val="21"/>
                <w:szCs w:val="21"/>
              </w:rPr>
              <w:t>3.《防雷减灾管理办法（修订）》（中国气象局第24号令）。</w:t>
            </w:r>
          </w:p>
        </w:tc>
        <w:tc>
          <w:tcPr>
            <w:tcW w:w="3260"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负责雷电灾害安全防御管理工作,负责油库、气库、弹药库、化学品库、烟花爆竹、石化等易燃易爆建设工程和场所,雷电易发区内的矿区、旅游景点或者投入使用的建(构)筑物、设施等需要单独安装雷电防护装置的场所,以及雷电风险高且没有防雷标准规范、需要进行特殊论证的大型项目的防雷装置设计审核和竣工验收许可。</w:t>
            </w:r>
          </w:p>
          <w:p>
            <w:pPr>
              <w:widowControl/>
              <w:spacing w:line="240" w:lineRule="exact"/>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2、组织对雷电防护装置实施安全监督管理。</w:t>
            </w:r>
          </w:p>
        </w:tc>
        <w:tc>
          <w:tcPr>
            <w:tcW w:w="3178" w:type="dxa"/>
            <w:vAlign w:val="center"/>
          </w:tcPr>
          <w:p>
            <w:pPr>
              <w:widowControl/>
              <w:spacing w:line="240" w:lineRule="exact"/>
              <w:jc w:val="both"/>
              <w:rPr>
                <w:rFonts w:hint="eastAsia" w:ascii="仿宋" w:hAnsi="仿宋" w:eastAsia="仿宋" w:cs="仿宋"/>
                <w:kern w:val="0"/>
                <w:sz w:val="21"/>
                <w:szCs w:val="21"/>
              </w:rPr>
            </w:pPr>
            <w:r>
              <w:rPr>
                <w:rFonts w:hint="eastAsia" w:ascii="仿宋" w:hAnsi="仿宋" w:eastAsia="仿宋" w:cs="仿宋"/>
                <w:color w:val="000000"/>
                <w:kern w:val="0"/>
                <w:sz w:val="21"/>
                <w:szCs w:val="21"/>
              </w:rPr>
              <w:t>建设部门负责房屋建筑工程和市政基础设施工程防雷装置设计审核、竣工验收许可。公路、水路、铁路、民航、水利、电力、核电、通信等专业建设工程防雷管理,相应地由各专业部门负责。</w:t>
            </w:r>
          </w:p>
        </w:tc>
        <w:tc>
          <w:tcPr>
            <w:tcW w:w="2270" w:type="dxa"/>
            <w:vAlign w:val="center"/>
          </w:tcPr>
          <w:p>
            <w:pPr>
              <w:widowControl/>
              <w:spacing w:line="240" w:lineRule="exact"/>
              <w:jc w:val="both"/>
              <w:rPr>
                <w:rFonts w:hint="eastAsia" w:ascii="仿宋" w:hAnsi="仿宋" w:eastAsia="仿宋" w:cs="仿宋"/>
                <w:kern w:val="0"/>
                <w:sz w:val="21"/>
                <w:szCs w:val="21"/>
              </w:rPr>
            </w:pPr>
            <w:r>
              <w:rPr>
                <w:rFonts w:hint="eastAsia" w:ascii="仿宋" w:hAnsi="仿宋" w:eastAsia="仿宋" w:cs="仿宋"/>
                <w:color w:val="000000"/>
                <w:kern w:val="0"/>
                <w:sz w:val="21"/>
                <w:szCs w:val="21"/>
              </w:rPr>
              <w:t>气象主管机构拒不履行防雷装置设计审核、竣工验收许可职能不力,导致重大责任性事故的。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3</w:t>
            </w:r>
          </w:p>
        </w:tc>
        <w:tc>
          <w:tcPr>
            <w:tcW w:w="976" w:type="dxa"/>
            <w:vAlign w:val="center"/>
          </w:tcPr>
          <w:p>
            <w:pPr>
              <w:widowControl/>
              <w:spacing w:line="240" w:lineRule="exact"/>
              <w:ind w:right="-105"/>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市气象局</w:t>
            </w:r>
          </w:p>
        </w:tc>
        <w:tc>
          <w:tcPr>
            <w:tcW w:w="976"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升放气球安全监督管理</w:t>
            </w:r>
          </w:p>
        </w:tc>
        <w:tc>
          <w:tcPr>
            <w:tcW w:w="2453" w:type="dxa"/>
            <w:vAlign w:val="center"/>
          </w:tcPr>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1.《升放气球管理办法》 （中国气象局令第9号）</w:t>
            </w:r>
          </w:p>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2．《通用航空飞行管制条例》 （国务院中央军委令第371号）</w:t>
            </w:r>
          </w:p>
          <w:p>
            <w:pPr>
              <w:widowControl/>
              <w:spacing w:line="240" w:lineRule="exact"/>
              <w:jc w:val="both"/>
              <w:rPr>
                <w:rFonts w:hint="eastAsia" w:ascii="仿宋" w:hAnsi="仿宋" w:eastAsia="仿宋" w:cs="仿宋"/>
                <w:kern w:val="0"/>
                <w:sz w:val="21"/>
                <w:szCs w:val="21"/>
              </w:rPr>
            </w:pPr>
            <w:r>
              <w:rPr>
                <w:rFonts w:hint="eastAsia" w:ascii="仿宋" w:hAnsi="仿宋" w:eastAsia="仿宋" w:cs="仿宋"/>
                <w:kern w:val="0"/>
                <w:sz w:val="21"/>
                <w:szCs w:val="21"/>
              </w:rPr>
              <w:t>3.《国务院对确需保留的行政审批项目设定行政许可证的决定》（国务院令412号）。</w:t>
            </w:r>
          </w:p>
        </w:tc>
        <w:tc>
          <w:tcPr>
            <w:tcW w:w="3260"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1、对全市升放气球资质许可和审批活动实施监督管理。</w:t>
            </w:r>
          </w:p>
          <w:p>
            <w:pPr>
              <w:widowControl/>
              <w:spacing w:line="2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2、负责</w:t>
            </w:r>
            <w:r>
              <w:rPr>
                <w:rFonts w:hint="eastAsia" w:ascii="仿宋" w:hAnsi="仿宋" w:eastAsia="仿宋" w:cs="仿宋"/>
                <w:color w:val="000000"/>
                <w:kern w:val="0"/>
                <w:sz w:val="21"/>
                <w:szCs w:val="21"/>
              </w:rPr>
              <w:t>组织对</w:t>
            </w:r>
            <w:r>
              <w:rPr>
                <w:rFonts w:hint="eastAsia" w:ascii="仿宋" w:hAnsi="仿宋" w:eastAsia="仿宋" w:cs="仿宋"/>
                <w:kern w:val="0"/>
                <w:sz w:val="21"/>
                <w:szCs w:val="21"/>
              </w:rPr>
              <w:t>施放气球活动的安全监督管理。</w:t>
            </w:r>
          </w:p>
        </w:tc>
        <w:tc>
          <w:tcPr>
            <w:tcW w:w="3178" w:type="dxa"/>
            <w:vAlign w:val="center"/>
          </w:tcPr>
          <w:p>
            <w:pPr>
              <w:widowControl/>
              <w:spacing w:line="240" w:lineRule="exact"/>
              <w:jc w:val="left"/>
              <w:rPr>
                <w:rFonts w:hint="eastAsia" w:ascii="仿宋" w:hAnsi="仿宋" w:eastAsia="仿宋" w:cs="仿宋"/>
                <w:kern w:val="0"/>
                <w:sz w:val="21"/>
                <w:szCs w:val="21"/>
              </w:rPr>
            </w:pPr>
          </w:p>
        </w:tc>
        <w:tc>
          <w:tcPr>
            <w:tcW w:w="2270" w:type="dxa"/>
            <w:vAlign w:val="center"/>
          </w:tcPr>
          <w:p>
            <w:pPr>
              <w:widowControl/>
              <w:spacing w:line="240" w:lineRule="exact"/>
              <w:jc w:val="both"/>
              <w:rPr>
                <w:rFonts w:hint="eastAsia" w:ascii="仿宋" w:hAnsi="仿宋" w:eastAsia="仿宋" w:cs="仿宋"/>
                <w:kern w:val="0"/>
                <w:sz w:val="21"/>
                <w:szCs w:val="21"/>
              </w:rPr>
            </w:pPr>
            <w:r>
              <w:rPr>
                <w:rFonts w:hint="eastAsia" w:ascii="仿宋" w:hAnsi="仿宋" w:eastAsia="仿宋" w:cs="仿宋"/>
                <w:color w:val="000000"/>
                <w:kern w:val="0"/>
                <w:sz w:val="21"/>
                <w:szCs w:val="21"/>
              </w:rPr>
              <w:t>气象主管机构未履行施放气球许可职能不力,导致重大安全生产事故的。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spacing w:line="240" w:lineRule="exact"/>
              <w:jc w:val="center"/>
              <w:rPr>
                <w:rFonts w:hint="eastAsia" w:ascii="仿宋" w:hAnsi="仿宋" w:eastAsia="仿宋" w:cs="仿宋"/>
                <w:kern w:val="0"/>
                <w:sz w:val="21"/>
                <w:szCs w:val="21"/>
              </w:rPr>
            </w:pPr>
            <w:r>
              <w:rPr>
                <w:rFonts w:hint="eastAsia" w:ascii="仿宋" w:hAnsi="仿宋" w:eastAsia="仿宋" w:cs="仿宋"/>
                <w:color w:val="000000"/>
                <w:kern w:val="0"/>
                <w:sz w:val="21"/>
                <w:szCs w:val="21"/>
              </w:rPr>
              <w:t>4</w:t>
            </w:r>
          </w:p>
        </w:tc>
        <w:tc>
          <w:tcPr>
            <w:tcW w:w="976" w:type="dxa"/>
            <w:vAlign w:val="center"/>
          </w:tcPr>
          <w:p>
            <w:pPr>
              <w:widowControl/>
              <w:spacing w:line="240" w:lineRule="exact"/>
              <w:ind w:right="-105"/>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市气象局</w:t>
            </w:r>
          </w:p>
        </w:tc>
        <w:tc>
          <w:tcPr>
            <w:tcW w:w="976"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人工影响天气作业安全监督管理</w:t>
            </w:r>
          </w:p>
        </w:tc>
        <w:tc>
          <w:tcPr>
            <w:tcW w:w="2453" w:type="dxa"/>
            <w:vAlign w:val="center"/>
          </w:tcPr>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1. 《中华人民共和国气象法》。</w:t>
            </w:r>
          </w:p>
          <w:p>
            <w:pPr>
              <w:widowControl/>
              <w:spacing w:line="240" w:lineRule="exact"/>
              <w:jc w:val="both"/>
              <w:rPr>
                <w:rFonts w:hint="eastAsia" w:ascii="仿宋" w:hAnsi="仿宋" w:eastAsia="仿宋" w:cs="仿宋"/>
                <w:kern w:val="0"/>
                <w:sz w:val="21"/>
                <w:szCs w:val="21"/>
              </w:rPr>
            </w:pPr>
            <w:r>
              <w:rPr>
                <w:rFonts w:hint="eastAsia" w:ascii="仿宋" w:hAnsi="仿宋" w:eastAsia="仿宋" w:cs="仿宋"/>
                <w:color w:val="000000"/>
                <w:kern w:val="0"/>
                <w:sz w:val="21"/>
                <w:szCs w:val="21"/>
              </w:rPr>
              <w:t>2. 《人工影响天气管理条例》 （国务院令第348号）。</w:t>
            </w:r>
          </w:p>
        </w:tc>
        <w:tc>
          <w:tcPr>
            <w:tcW w:w="3260" w:type="dxa"/>
            <w:vAlign w:val="center"/>
          </w:tcPr>
          <w:p>
            <w:pPr>
              <w:widowControl/>
              <w:spacing w:line="240" w:lineRule="exact"/>
              <w:jc w:val="left"/>
              <w:rPr>
                <w:rFonts w:hint="eastAsia" w:ascii="仿宋" w:hAnsi="仿宋" w:eastAsia="仿宋" w:cs="仿宋"/>
                <w:kern w:val="0"/>
                <w:sz w:val="21"/>
                <w:szCs w:val="21"/>
              </w:rPr>
            </w:pPr>
            <w:r>
              <w:rPr>
                <w:rFonts w:hint="eastAsia" w:ascii="仿宋" w:hAnsi="仿宋" w:eastAsia="仿宋" w:cs="仿宋"/>
                <w:color w:val="000000"/>
                <w:kern w:val="0"/>
                <w:sz w:val="21"/>
                <w:szCs w:val="21"/>
              </w:rPr>
              <w:t>负责人工影响天气作业安全管理,依据相关行业法律法规实施安全监管执法,查处非法违法行为。</w:t>
            </w:r>
          </w:p>
        </w:tc>
        <w:tc>
          <w:tcPr>
            <w:tcW w:w="3178" w:type="dxa"/>
            <w:vAlign w:val="center"/>
          </w:tcPr>
          <w:p>
            <w:pPr>
              <w:widowControl/>
              <w:spacing w:line="240" w:lineRule="exact"/>
              <w:jc w:val="left"/>
              <w:rPr>
                <w:rFonts w:hint="eastAsia" w:ascii="仿宋" w:hAnsi="仿宋" w:eastAsia="仿宋" w:cs="仿宋"/>
                <w:kern w:val="0"/>
                <w:sz w:val="21"/>
                <w:szCs w:val="21"/>
              </w:rPr>
            </w:pPr>
          </w:p>
        </w:tc>
        <w:tc>
          <w:tcPr>
            <w:tcW w:w="2270" w:type="dxa"/>
            <w:vAlign w:val="center"/>
          </w:tcPr>
          <w:p>
            <w:pPr>
              <w:widowControl/>
              <w:spacing w:line="240" w:lineRule="exact"/>
              <w:jc w:val="both"/>
              <w:rPr>
                <w:rFonts w:hint="eastAsia" w:ascii="仿宋" w:hAnsi="仿宋" w:eastAsia="仿宋" w:cs="仿宋"/>
                <w:kern w:val="0"/>
                <w:sz w:val="21"/>
                <w:szCs w:val="21"/>
              </w:rPr>
            </w:pPr>
            <w:r>
              <w:rPr>
                <w:rFonts w:hint="eastAsia" w:ascii="仿宋" w:hAnsi="仿宋" w:eastAsia="仿宋" w:cs="仿宋"/>
                <w:color w:val="000000"/>
                <w:kern w:val="0"/>
                <w:sz w:val="21"/>
                <w:szCs w:val="21"/>
              </w:rPr>
              <w:t>对人工影响天气作业设备及人工影响天气作业活动疏于监管,导致重大人影安全事故的。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976" w:type="dxa"/>
            <w:vAlign w:val="center"/>
          </w:tcPr>
          <w:p>
            <w:pPr>
              <w:widowControl/>
              <w:spacing w:line="240" w:lineRule="exact"/>
              <w:ind w:right="-105"/>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市气象局</w:t>
            </w:r>
          </w:p>
        </w:tc>
        <w:tc>
          <w:tcPr>
            <w:tcW w:w="976"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传播气象预报和从事气象信息服务的监督管理</w:t>
            </w:r>
          </w:p>
        </w:tc>
        <w:tc>
          <w:tcPr>
            <w:tcW w:w="2453" w:type="dxa"/>
            <w:vAlign w:val="center"/>
          </w:tcPr>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1. 《中华人民共和国气象法》。</w:t>
            </w:r>
          </w:p>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2、《气象信息服务管理办法》（中国气象局令第27号）。</w:t>
            </w:r>
          </w:p>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3、《气象预报发布与传播管理办法》（中国气象局令第26号）。</w:t>
            </w:r>
          </w:p>
        </w:tc>
        <w:tc>
          <w:tcPr>
            <w:tcW w:w="3260" w:type="dxa"/>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负责调查、处理非法传播气象预报和违法从事气象信息服务的行为。</w:t>
            </w:r>
          </w:p>
        </w:tc>
        <w:tc>
          <w:tcPr>
            <w:tcW w:w="3178" w:type="dxa"/>
            <w:vAlign w:val="center"/>
          </w:tcPr>
          <w:p>
            <w:pPr>
              <w:widowControl/>
              <w:spacing w:line="240" w:lineRule="exact"/>
              <w:jc w:val="left"/>
              <w:rPr>
                <w:rFonts w:hint="eastAsia" w:ascii="仿宋" w:hAnsi="仿宋" w:eastAsia="仿宋" w:cs="仿宋"/>
                <w:kern w:val="0"/>
                <w:sz w:val="21"/>
                <w:szCs w:val="21"/>
              </w:rPr>
            </w:pPr>
          </w:p>
        </w:tc>
        <w:tc>
          <w:tcPr>
            <w:tcW w:w="2270" w:type="dxa"/>
            <w:vAlign w:val="center"/>
          </w:tcPr>
          <w:p>
            <w:pPr>
              <w:widowControl/>
              <w:spacing w:line="24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对传播气象预报和从事气象信息服务活动疏于监管,导致造成严重后果的。</w:t>
            </w:r>
          </w:p>
        </w:tc>
      </w:tr>
    </w:tbl>
    <w:p>
      <w:pPr>
        <w:jc w:val="center"/>
        <w:rPr>
          <w:rFonts w:hint="eastAsia" w:ascii="仿宋" w:hAnsi="仿宋" w:eastAsia="仿宋" w:cs="仿宋"/>
          <w:sz w:val="21"/>
          <w:szCs w:val="21"/>
        </w:rPr>
      </w:pPr>
    </w:p>
    <w:p>
      <w:pPr>
        <w:jc w:val="center"/>
        <w:rPr>
          <w:rFonts w:ascii="方正小标宋_GBK" w:eastAsia="方正小标宋_GBK"/>
          <w:sz w:val="44"/>
          <w:szCs w:val="44"/>
        </w:rPr>
      </w:pPr>
    </w:p>
    <w:p>
      <w:pPr>
        <w:jc w:val="center"/>
        <w:rPr>
          <w:rFonts w:ascii="方正小标宋_GBK" w:eastAsia="方正小标宋_GBK"/>
          <w:sz w:val="44"/>
          <w:szCs w:val="44"/>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sz w:val="18"/>
          <w:szCs w:val="18"/>
        </w:rPr>
      </w:pP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92"/>
        <w:gridCol w:w="1429"/>
        <w:gridCol w:w="2642"/>
        <w:gridCol w:w="1601"/>
        <w:gridCol w:w="5807"/>
        <w:gridCol w:w="1492"/>
        <w:gridCol w:w="5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9" w:hRule="atLeast"/>
        </w:trPr>
        <w:tc>
          <w:tcPr>
            <w:tcW w:w="5000" w:type="pct"/>
            <w:gridSpan w:val="7"/>
            <w:tcMar>
              <w:top w:w="0" w:type="dxa"/>
              <w:left w:w="17" w:type="dxa"/>
              <w:bottom w:w="0" w:type="dxa"/>
              <w:right w:w="17" w:type="dxa"/>
            </w:tcMar>
            <w:vAlign w:val="center"/>
          </w:tcPr>
          <w:p>
            <w:pPr>
              <w:widowControl/>
              <w:jc w:val="center"/>
              <w:textAlignment w:val="center"/>
              <w:rPr>
                <w:rFonts w:asciiTheme="majorEastAsia" w:hAnsiTheme="majorEastAsia" w:eastAsiaTheme="majorEastAsia"/>
                <w:b/>
                <w:bCs/>
                <w:color w:val="000000"/>
                <w:kern w:val="0"/>
                <w:sz w:val="18"/>
                <w:szCs w:val="18"/>
              </w:rPr>
            </w:pPr>
            <w:r>
              <w:rPr>
                <w:rFonts w:hint="eastAsia" w:asciiTheme="majorEastAsia" w:hAnsiTheme="majorEastAsia" w:eastAsiaTheme="majorEastAsia"/>
                <w:sz w:val="32"/>
                <w:szCs w:val="32"/>
              </w:rPr>
              <w:t>景德镇</w:t>
            </w:r>
            <w:r>
              <w:rPr>
                <w:rFonts w:hint="eastAsia" w:asciiTheme="majorEastAsia" w:hAnsiTheme="majorEastAsia" w:eastAsiaTheme="majorEastAsia"/>
                <w:sz w:val="32"/>
                <w:szCs w:val="32"/>
                <w:lang w:eastAsia="zh-CN"/>
              </w:rPr>
              <w:t>市</w:t>
            </w:r>
            <w:r>
              <w:rPr>
                <w:rFonts w:hint="eastAsia" w:asciiTheme="majorEastAsia" w:hAnsiTheme="majorEastAsia" w:eastAsiaTheme="majorEastAsia"/>
                <w:sz w:val="32"/>
                <w:szCs w:val="32"/>
              </w:rPr>
              <w:t>气象局安全生产权力清单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9" w:hRule="atLeast"/>
        </w:trPr>
        <w:tc>
          <w:tcPr>
            <w:tcW w:w="176" w:type="pct"/>
            <w:tcMar>
              <w:top w:w="0" w:type="dxa"/>
              <w:left w:w="17" w:type="dxa"/>
              <w:bottom w:w="0" w:type="dxa"/>
              <w:right w:w="17" w:type="dxa"/>
            </w:tcMar>
            <w:vAlign w:val="center"/>
          </w:tcPr>
          <w:p>
            <w:pPr>
              <w:autoSpaceDE w:val="0"/>
              <w:autoSpaceDN w:val="0"/>
              <w:adjustRightInd w:val="0"/>
              <w:spacing w:line="240" w:lineRule="exact"/>
              <w:jc w:val="center"/>
              <w:rPr>
                <w:rFonts w:hint="eastAsia" w:ascii="仿宋" w:hAnsi="仿宋" w:eastAsia="仿宋" w:cs="黑体"/>
                <w:b/>
                <w:bCs/>
                <w:kern w:val="0"/>
                <w:sz w:val="24"/>
                <w:szCs w:val="24"/>
              </w:rPr>
            </w:pPr>
            <w:r>
              <w:rPr>
                <w:rFonts w:hint="eastAsia" w:ascii="仿宋" w:hAnsi="仿宋" w:eastAsia="仿宋" w:cs="黑体"/>
                <w:b/>
                <w:bCs/>
                <w:kern w:val="0"/>
                <w:sz w:val="24"/>
                <w:szCs w:val="24"/>
              </w:rPr>
              <w:t>序号</w:t>
            </w:r>
          </w:p>
        </w:tc>
        <w:tc>
          <w:tcPr>
            <w:tcW w:w="511" w:type="pct"/>
            <w:tcMar>
              <w:top w:w="0" w:type="dxa"/>
              <w:left w:w="17" w:type="dxa"/>
              <w:bottom w:w="0" w:type="dxa"/>
              <w:right w:w="17" w:type="dxa"/>
            </w:tcMar>
            <w:vAlign w:val="center"/>
          </w:tcPr>
          <w:p>
            <w:pPr>
              <w:autoSpaceDE w:val="0"/>
              <w:autoSpaceDN w:val="0"/>
              <w:adjustRightInd w:val="0"/>
              <w:spacing w:line="240" w:lineRule="exact"/>
              <w:jc w:val="center"/>
              <w:rPr>
                <w:rFonts w:hint="eastAsia" w:ascii="仿宋" w:hAnsi="仿宋" w:eastAsia="仿宋" w:cs="黑体"/>
                <w:b/>
                <w:bCs/>
                <w:kern w:val="0"/>
                <w:sz w:val="24"/>
                <w:szCs w:val="24"/>
              </w:rPr>
            </w:pPr>
            <w:r>
              <w:rPr>
                <w:rFonts w:hint="eastAsia" w:ascii="仿宋" w:hAnsi="仿宋" w:eastAsia="仿宋" w:cs="黑体"/>
                <w:b/>
                <w:bCs/>
                <w:kern w:val="0"/>
                <w:sz w:val="24"/>
                <w:szCs w:val="24"/>
              </w:rPr>
              <w:t>行政权力类别</w:t>
            </w:r>
          </w:p>
        </w:tc>
        <w:tc>
          <w:tcPr>
            <w:tcW w:w="944" w:type="pct"/>
            <w:tcMar>
              <w:top w:w="0" w:type="dxa"/>
              <w:left w:w="17" w:type="dxa"/>
              <w:bottom w:w="0" w:type="dxa"/>
              <w:right w:w="17" w:type="dxa"/>
            </w:tcMar>
            <w:vAlign w:val="center"/>
          </w:tcPr>
          <w:p>
            <w:pPr>
              <w:autoSpaceDE w:val="0"/>
              <w:autoSpaceDN w:val="0"/>
              <w:adjustRightInd w:val="0"/>
              <w:spacing w:line="240" w:lineRule="exact"/>
              <w:jc w:val="center"/>
              <w:rPr>
                <w:rFonts w:hint="eastAsia" w:ascii="仿宋" w:hAnsi="仿宋" w:eastAsia="仿宋" w:cs="黑体"/>
                <w:b/>
                <w:bCs/>
                <w:kern w:val="0"/>
                <w:sz w:val="24"/>
                <w:szCs w:val="24"/>
              </w:rPr>
            </w:pPr>
            <w:r>
              <w:rPr>
                <w:rFonts w:hint="eastAsia" w:ascii="仿宋" w:hAnsi="仿宋" w:eastAsia="仿宋" w:cs="黑体"/>
                <w:b/>
                <w:bCs/>
                <w:kern w:val="0"/>
                <w:sz w:val="24"/>
                <w:szCs w:val="24"/>
              </w:rPr>
              <w:t>项目名称</w:t>
            </w:r>
          </w:p>
        </w:tc>
        <w:tc>
          <w:tcPr>
            <w:tcW w:w="572" w:type="pct"/>
            <w:tcMar>
              <w:top w:w="0" w:type="dxa"/>
              <w:left w:w="17" w:type="dxa"/>
              <w:bottom w:w="0" w:type="dxa"/>
              <w:right w:w="17" w:type="dxa"/>
            </w:tcMar>
            <w:vAlign w:val="center"/>
          </w:tcPr>
          <w:p>
            <w:pPr>
              <w:autoSpaceDE w:val="0"/>
              <w:autoSpaceDN w:val="0"/>
              <w:adjustRightInd w:val="0"/>
              <w:spacing w:line="240" w:lineRule="exact"/>
              <w:jc w:val="center"/>
              <w:rPr>
                <w:rFonts w:hint="eastAsia" w:ascii="仿宋" w:hAnsi="仿宋" w:eastAsia="仿宋" w:cs="黑体"/>
                <w:b/>
                <w:bCs/>
                <w:kern w:val="0"/>
                <w:sz w:val="24"/>
                <w:szCs w:val="24"/>
              </w:rPr>
            </w:pPr>
            <w:r>
              <w:rPr>
                <w:rFonts w:hint="eastAsia" w:ascii="仿宋" w:hAnsi="仿宋" w:eastAsia="仿宋" w:cs="黑体"/>
                <w:b/>
                <w:bCs/>
                <w:kern w:val="0"/>
                <w:sz w:val="24"/>
                <w:szCs w:val="24"/>
              </w:rPr>
              <w:t>实施主体</w:t>
            </w:r>
          </w:p>
        </w:tc>
        <w:tc>
          <w:tcPr>
            <w:tcW w:w="2075" w:type="pct"/>
            <w:tcMar>
              <w:top w:w="0" w:type="dxa"/>
              <w:left w:w="17" w:type="dxa"/>
              <w:bottom w:w="0" w:type="dxa"/>
              <w:right w:w="17" w:type="dxa"/>
            </w:tcMar>
            <w:vAlign w:val="center"/>
          </w:tcPr>
          <w:p>
            <w:pPr>
              <w:autoSpaceDE w:val="0"/>
              <w:autoSpaceDN w:val="0"/>
              <w:adjustRightInd w:val="0"/>
              <w:spacing w:line="240" w:lineRule="exact"/>
              <w:jc w:val="center"/>
              <w:rPr>
                <w:rFonts w:hint="eastAsia" w:ascii="仿宋" w:hAnsi="仿宋" w:eastAsia="仿宋" w:cs="黑体"/>
                <w:b/>
                <w:bCs/>
                <w:kern w:val="0"/>
                <w:sz w:val="24"/>
                <w:szCs w:val="24"/>
              </w:rPr>
            </w:pPr>
            <w:r>
              <w:rPr>
                <w:rFonts w:hint="eastAsia" w:ascii="仿宋" w:hAnsi="仿宋" w:eastAsia="仿宋" w:cs="黑体"/>
                <w:b/>
                <w:bCs/>
                <w:kern w:val="0"/>
                <w:sz w:val="24"/>
                <w:szCs w:val="24"/>
              </w:rPr>
              <w:t>实施依据</w:t>
            </w:r>
          </w:p>
        </w:tc>
        <w:tc>
          <w:tcPr>
            <w:tcW w:w="533" w:type="pct"/>
            <w:tcMar>
              <w:top w:w="0" w:type="dxa"/>
              <w:left w:w="17" w:type="dxa"/>
              <w:bottom w:w="0" w:type="dxa"/>
              <w:right w:w="17" w:type="dxa"/>
            </w:tcMar>
            <w:vAlign w:val="center"/>
          </w:tcPr>
          <w:p>
            <w:pPr>
              <w:autoSpaceDE w:val="0"/>
              <w:autoSpaceDN w:val="0"/>
              <w:adjustRightInd w:val="0"/>
              <w:spacing w:line="240" w:lineRule="exact"/>
              <w:jc w:val="center"/>
              <w:rPr>
                <w:rFonts w:hint="eastAsia" w:ascii="仿宋" w:hAnsi="仿宋" w:eastAsia="仿宋" w:cs="黑体"/>
                <w:b/>
                <w:bCs/>
                <w:kern w:val="0"/>
                <w:sz w:val="24"/>
                <w:szCs w:val="24"/>
              </w:rPr>
            </w:pPr>
            <w:r>
              <w:rPr>
                <w:rFonts w:hint="eastAsia" w:ascii="仿宋" w:hAnsi="仿宋" w:eastAsia="仿宋" w:cs="黑体"/>
                <w:b/>
                <w:bCs/>
                <w:kern w:val="0"/>
                <w:sz w:val="24"/>
                <w:szCs w:val="24"/>
              </w:rPr>
              <w:t>实施对象</w:t>
            </w:r>
          </w:p>
        </w:tc>
        <w:tc>
          <w:tcPr>
            <w:tcW w:w="187" w:type="pct"/>
            <w:tcMar>
              <w:top w:w="0" w:type="dxa"/>
              <w:left w:w="17" w:type="dxa"/>
              <w:bottom w:w="0" w:type="dxa"/>
              <w:right w:w="17" w:type="dxa"/>
            </w:tcMar>
            <w:vAlign w:val="center"/>
          </w:tcPr>
          <w:p>
            <w:pPr>
              <w:autoSpaceDE w:val="0"/>
              <w:autoSpaceDN w:val="0"/>
              <w:adjustRightInd w:val="0"/>
              <w:spacing w:line="240" w:lineRule="exact"/>
              <w:jc w:val="center"/>
              <w:rPr>
                <w:rFonts w:hint="eastAsia" w:ascii="仿宋" w:hAnsi="仿宋" w:eastAsia="仿宋" w:cs="黑体"/>
                <w:b/>
                <w:bCs/>
                <w:kern w:val="0"/>
                <w:sz w:val="24"/>
                <w:szCs w:val="24"/>
              </w:rPr>
            </w:pPr>
            <w:r>
              <w:rPr>
                <w:rFonts w:hint="eastAsia" w:ascii="仿宋" w:hAnsi="仿宋" w:eastAsia="仿宋" w:cs="黑体"/>
                <w:b/>
                <w:bCs/>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行政许可</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雷电防护装置设计审核和竣工验收</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1.《气象灾害防御条例》第二十三条第三款</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2.《江西省实施&lt;中华人民共和国气象法&gt;办法》第二十五条第二款</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3.《雷电防护装置设计审核和竣工验收规定》（中国气象局令第37号）第七条第一款</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4.《国务院关于优化建设工程防雷许可的决定》（国发〔2016〕39号）</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行政许可</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升放无人驾驶自由气球、系留气球单位资质认定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1.《国务院对确需保留的行政审批项目设定行政许可的决定》（国务院令第412号）第376项</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2.《升放气球管理办法》（中国气象局第36号令）第六条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行政许可</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升放无人驾驶自由气球或者系留气球活动审批</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1.《通用航空飞行管制条例》（国务院、中央军委第371号令）第三十三条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国务院关于第六批取消和调整行政审批项目的决定》国务院决定调整的行政审批项目目录（143项）（一）下放管理层级的行政审批项目（117项）第79项“项目名称：升放无人驾驶自由气球或者系留气球活动审批；下放后实施机关：设区的市、县气象主管机构”</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3.《升放气球管理办法》（中国气象局第36号令）第十三条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其它</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气象灾害的应急处置</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《气象灾害防御条例》第三十九条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其它</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气象灾害防御重点单位的确定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《江西省气象灾害防御条例》第十七条第一款</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对违反气象信息服务活动的处罚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1.《气象信息服务管理办法》（中国气象局令第27号）第十八条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2.《江西省气候资源保护和利用条例》第三十二条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对违反气象预报预警发布与传播管理规定的处罚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1.《中华人民共和国气象法》第三十八条 </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2.《气象灾害防御条例》第四十六条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3.《江西省气象灾害防御条例》第四十二条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4.《江西省实施〈中华人民共和国气象法〉办法》第三十条第十五条第一款第十八条第一款</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 《气象灾害预警信号发布与传播办法》（中国气象局令第16号）第十四条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6.《气象预报发布与传播管理办法》（中国气象局令第26号）第十二条第十四条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对违反人工影响天气作业规定的处罚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1.《中华人民共和国气象法》第三十九条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2.《人工影响天气管理条例》第十九条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3.《江西省实施&lt;中华人民共和国气象法&gt;办法》第三十一条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对安装或使用不符合要求的雷电防护装置或产品的处罚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1.《中华人民共和国气象法》第三十七条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2.《防雷减灾管理办法》（中国气象局令第24号）第三十五条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对应当安装雷电防护装置而未安装，拒不接受检测或者检测不合格又拒不整改的处罚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1.《江西省实施〈中华人民共和国气象法〉办法》第三十一条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2.《江西省雷电灾害防御办法》第二十四条第二十六条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3.《防雷减灾管理办法》（中国气象局令第24号） 第三十五条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对雷电防护装置未经设计审核或者设计审核不合格施工的，未经竣工验收或者竣工验收不合格交付使用的处罚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1.《气象灾害防御条例》第四十五条第三项</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2.《江西省实施〈中华人民共和国气象法〉办法》第三十一条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3.《防雷减灾管理办法》（中国气象局令第24号）第三十四条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4.《江西省雷电灾害防御办法》第二十五条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对无资质或者超越资质许可范围从事雷电防护装置检测的处罚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《气象灾害防御条例》第四十五条 </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对在雷电防护装置设计、施工、检测中弄虚作假的处罚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《气象灾害防御条例》第四十五条 </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对雷电防护装置检测资质单位违反相关管理规定的处罚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《雷电防护装置检测资质管理办法》（第38号令）第三十条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对申请单位以隐瞒、提供虚假材料、欺骗、贿赂等不正当手段</w:t>
            </w:r>
            <w:r>
              <w:rPr>
                <w:rFonts w:hint="eastAsia" w:ascii="仿宋" w:hAnsi="仿宋" w:eastAsia="仿宋" w:cs="仿宋"/>
                <w:color w:val="000000"/>
                <w:kern w:val="0"/>
                <w:sz w:val="21"/>
                <w:szCs w:val="21"/>
                <w:lang w:eastAsia="zh-CN"/>
              </w:rPr>
              <w:t>申请</w:t>
            </w:r>
            <w:r>
              <w:rPr>
                <w:rFonts w:hint="eastAsia" w:ascii="仿宋" w:hAnsi="仿宋" w:eastAsia="仿宋" w:cs="仿宋"/>
                <w:color w:val="000000"/>
                <w:kern w:val="0"/>
                <w:sz w:val="21"/>
                <w:szCs w:val="21"/>
              </w:rPr>
              <w:t>设计审核或者竣工验收的处罚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1.《防雷减灾管理办法》（中国气象局令第24号）第三十一条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2.《雷电防护装置设计审核和竣工验收规定》（中国气象局令第37号）第二十四条第二十五条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3.《雷电防护装置检测资质管理办法》（中国气象局令第38号）第三十三条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对被许可单位以欺骗、贿赂等不正当手段通过设计审核、竣工验收的处罚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1.《防雷减灾管理办法》（中国气象局令第24号）第三十二条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2.《雷电防护装置设计审核和竣工验收规定》（中国气象局令第37号）第二十五条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3.《雷电防护装置检测资质管理办法》38号令第三十四条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对涂改、伪造、倒卖、出租、出借、挂靠或者转让资质证书、资格证书或者许可文件，隐瞒有关情况、提供虚假材料等行为的处罚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1.《防雷减灾管理办法》（中国气象局令第24号）第三十三条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2.《气象行政许可实施办法》33号令第四十一条第一款</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对重大雷电灾害事故隐瞒不报的处罚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《防雷减灾管理办法》（中国气象局令第24号）第三十五条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对申请单位隐瞒有关情况、提供虚假材料申请资质认定或者升放活动许可的处罚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《升放气球管理办法》（中国气象局令第36号）第二十五条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对被许可单位以欺骗、贿赂等不正当手段取得资质或者升放活动许可的处罚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《升放气球管理办法》（中国气象局令第36号）第二十六条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对涂改、伪造、倒卖、出租、出借、挂靠、转让《升放气球资质证》或者许可文件的或者不如实、拒绝提供升放气球情况的处罚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《升放气球管理办法》（中国气象局令第36号）第二十七条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行政处罚</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对未取得升放气球资质证从事升放气球活动的处罚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《升放气球管理办法》（中国气象局36号令）第二十八条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对违反升放气球安全管理规定行为的处罚</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1.《通用航空飞行管制条例》（国务院、中央军事委员会令第371号）第四十三条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2.《升放气球管理办法》（中国气象局36号令）第二十九条第三十条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对气象信息服务单位和活动的监督检查</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《气象信息服务管理办法》（中国气象局令第27号）第四条第二款第七条第二款</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对天气预报、灾害性天气警报信息传播的监督检查</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1.《中华人民共和国气象法》第二十五条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2.《气象灾害防御条例》第三十条第三十一条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3.《江西省实施&lt;中华人民共和国气象法&gt;办法》第十五条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4.《江西省气象灾害防御条例》第二十九条第三十条第三十一条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5.《气象预报发布与传播管理办法》（中国气象局令第26号）第四条第二款</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对气象灾害防御教育指导和监督</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《气象灾害防御条例》第七条第二款</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对气象灾害防御重点单位的监督检查</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《江西省气象灾害防御条例》第十八条第三款</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对人工影响天气工作的管理、指导和组织实施</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1.《中华人民共和国气象法》第三十条第二款</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2.《人工影响天气管理条例》第四条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3.《江西省实施&lt;中华人民共和国气象法&gt;办法》第二十二条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4.《江西省人工影响天气管理办法》第四条第二款</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5.《江西省气候资源保护和利用条例》第二十三条第二款</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对防雷减灾工作的指导、监管</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1.《中华人民共和国气象法》第三十一条第一款</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2.《江西省实施&lt;中华人民共和国气象法&gt;办法》第二十三条</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 xml:space="preserve">3.《防雷减灾管理办法》（中国气象局令第24号）第四条 </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4.《江西省雷电灾害防御办法》第七条第十七条第三款第十九条第二款第二十条。”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对防雷装置设计审核与竣工验收监督检查</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1.《江西省气象灾害防御条例》第二十条第三款</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2.《雷电防护装置设计审核和竣工验收规定》（中国气象局令第37号）第十八条</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6"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w:t>
            </w:r>
          </w:p>
        </w:tc>
        <w:tc>
          <w:tcPr>
            <w:tcW w:w="511"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监督检查</w:t>
            </w:r>
          </w:p>
        </w:tc>
        <w:tc>
          <w:tcPr>
            <w:tcW w:w="944"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对升放气球活动的监管</w:t>
            </w:r>
          </w:p>
        </w:tc>
        <w:tc>
          <w:tcPr>
            <w:tcW w:w="572"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市气象局</w:t>
            </w:r>
          </w:p>
        </w:tc>
        <w:tc>
          <w:tcPr>
            <w:tcW w:w="2075"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1.《升放气球管理办法》第二十条</w:t>
            </w:r>
          </w:p>
          <w:p>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2.《关于公布气象行政审批事项的通知》（赣气发【2009】102号文件-省级精简下放实施的行政许可项目目录-将升放无人驾驶自由气球或者施放系留气球活动审批下放到市、县（市、区）气象主管机构 。</w:t>
            </w:r>
          </w:p>
        </w:tc>
        <w:tc>
          <w:tcPr>
            <w:tcW w:w="533" w:type="pct"/>
            <w:tcMar>
              <w:top w:w="0" w:type="dxa"/>
              <w:left w:w="17" w:type="dxa"/>
              <w:bottom w:w="0" w:type="dxa"/>
              <w:right w:w="17" w:type="dxa"/>
            </w:tcMar>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机关、事业单位、企业、社会组织</w:t>
            </w:r>
          </w:p>
        </w:tc>
        <w:tc>
          <w:tcPr>
            <w:tcW w:w="187" w:type="pct"/>
            <w:tcMar>
              <w:top w:w="0" w:type="dxa"/>
              <w:left w:w="17" w:type="dxa"/>
              <w:bottom w:w="0" w:type="dxa"/>
              <w:right w:w="17" w:type="dxa"/>
            </w:tcMar>
            <w:vAlign w:val="center"/>
          </w:tcPr>
          <w:p>
            <w:pPr>
              <w:widowControl/>
              <w:spacing w:line="240" w:lineRule="exact"/>
              <w:jc w:val="center"/>
              <w:rPr>
                <w:rFonts w:hint="eastAsia" w:ascii="仿宋" w:hAnsi="仿宋" w:eastAsia="仿宋" w:cs="仿宋"/>
                <w:color w:val="000000"/>
                <w:kern w:val="0"/>
                <w:sz w:val="21"/>
                <w:szCs w:val="21"/>
              </w:rPr>
            </w:pPr>
          </w:p>
        </w:tc>
      </w:tr>
    </w:tbl>
    <w:p>
      <w:pPr>
        <w:spacing w:line="240" w:lineRule="exact"/>
        <w:jc w:val="left"/>
        <w:rPr>
          <w:rFonts w:ascii="仿宋" w:hAnsi="仿宋" w:eastAsia="仿宋"/>
          <w:sz w:val="18"/>
          <w:szCs w:val="18"/>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1BCB"/>
    <w:rsid w:val="00031845"/>
    <w:rsid w:val="00066894"/>
    <w:rsid w:val="00097EF4"/>
    <w:rsid w:val="000C0353"/>
    <w:rsid w:val="001256A4"/>
    <w:rsid w:val="0015457A"/>
    <w:rsid w:val="001931DF"/>
    <w:rsid w:val="00196FC5"/>
    <w:rsid w:val="001C266D"/>
    <w:rsid w:val="00264EC3"/>
    <w:rsid w:val="0030414F"/>
    <w:rsid w:val="00342786"/>
    <w:rsid w:val="0039015E"/>
    <w:rsid w:val="003F6481"/>
    <w:rsid w:val="00420793"/>
    <w:rsid w:val="004562AE"/>
    <w:rsid w:val="00494E28"/>
    <w:rsid w:val="004F70DD"/>
    <w:rsid w:val="00507C6F"/>
    <w:rsid w:val="00510A15"/>
    <w:rsid w:val="00650981"/>
    <w:rsid w:val="00683253"/>
    <w:rsid w:val="006B59C3"/>
    <w:rsid w:val="006F497F"/>
    <w:rsid w:val="00745B2E"/>
    <w:rsid w:val="00784F99"/>
    <w:rsid w:val="007E6F01"/>
    <w:rsid w:val="008569B0"/>
    <w:rsid w:val="00864336"/>
    <w:rsid w:val="00886FBD"/>
    <w:rsid w:val="0089049D"/>
    <w:rsid w:val="008B0C58"/>
    <w:rsid w:val="008C4CD2"/>
    <w:rsid w:val="008D69CD"/>
    <w:rsid w:val="00917153"/>
    <w:rsid w:val="00971BCB"/>
    <w:rsid w:val="009D2BBF"/>
    <w:rsid w:val="00A27FB8"/>
    <w:rsid w:val="00A637E0"/>
    <w:rsid w:val="00AC13D4"/>
    <w:rsid w:val="00AC3675"/>
    <w:rsid w:val="00BC31BB"/>
    <w:rsid w:val="00BE471A"/>
    <w:rsid w:val="00D16561"/>
    <w:rsid w:val="00D854DF"/>
    <w:rsid w:val="00DD1468"/>
    <w:rsid w:val="00DE16AE"/>
    <w:rsid w:val="00ED4130"/>
    <w:rsid w:val="00EF7590"/>
    <w:rsid w:val="00F154C1"/>
    <w:rsid w:val="00F86CE2"/>
    <w:rsid w:val="00FA0BF1"/>
    <w:rsid w:val="00FE65F2"/>
    <w:rsid w:val="129B0E77"/>
    <w:rsid w:val="3893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uiPriority w:val="99"/>
    <w:rPr>
      <w:rFonts w:ascii="Microsoft YaHei UI" w:eastAsia="Microsoft YaHei UI"/>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Char Char Char Char"/>
    <w:basedOn w:val="2"/>
    <w:qFormat/>
    <w:uiPriority w:val="0"/>
    <w:pPr>
      <w:shd w:val="clear" w:color="auto" w:fill="000080"/>
    </w:pPr>
    <w:rPr>
      <w:rFonts w:ascii="Tahoma" w:hAnsi="Tahoma" w:eastAsia="宋体" w:cs="Tahoma"/>
      <w:sz w:val="24"/>
      <w:szCs w:val="24"/>
    </w:rPr>
  </w:style>
  <w:style w:type="character" w:customStyle="1" w:styleId="11">
    <w:name w:val="文档结构图 Char"/>
    <w:basedOn w:val="7"/>
    <w:link w:val="2"/>
    <w:semiHidden/>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710</Words>
  <Characters>4050</Characters>
  <Lines>33</Lines>
  <Paragraphs>9</Paragraphs>
  <TotalTime>4</TotalTime>
  <ScaleCrop>false</ScaleCrop>
  <LinksUpToDate>false</LinksUpToDate>
  <CharactersWithSpaces>4751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2022-06-14T09:05:00Z</dcterms:created>
  <dc:creator>景德镇市局文秘</dc:creator>
  <cp:lastModifiedBy>lenovo</cp:lastModifiedBy>
  <dcterms:modified xsi:type="dcterms:W3CDTF">2022-06-15T03:41:46Z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43D82136849D42C6829881E40FB757D9</vt:lpwstr>
  </property>
</Properties>
</file>