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743D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景德镇市</w:t>
      </w:r>
      <w:r>
        <w:rPr>
          <w:rFonts w:hint="eastAsia" w:ascii="方正小标宋简体" w:hAnsi="方正小标宋简体" w:eastAsia="方正小标宋简体" w:cs="方正小标宋简体"/>
          <w:b w:val="0"/>
          <w:bCs w:val="0"/>
          <w:color w:val="000000"/>
          <w:kern w:val="0"/>
          <w:sz w:val="44"/>
          <w:szCs w:val="44"/>
          <w:lang w:eastAsia="zh-CN"/>
        </w:rPr>
        <w:t>机关事务保障中心</w:t>
      </w:r>
      <w:r>
        <w:rPr>
          <w:rFonts w:hint="eastAsia" w:ascii="方正小标宋简体" w:hAnsi="方正小标宋简体" w:eastAsia="方正小标宋简体" w:cs="方正小标宋简体"/>
          <w:b w:val="0"/>
          <w:bCs w:val="0"/>
          <w:color w:val="000000"/>
          <w:kern w:val="0"/>
          <w:sz w:val="44"/>
          <w:szCs w:val="44"/>
          <w:lang w:val="en-US" w:eastAsia="zh-CN"/>
        </w:rPr>
        <w:t xml:space="preserve">           </w:t>
      </w:r>
      <w:r>
        <w:rPr>
          <w:rFonts w:hint="eastAsia" w:ascii="方正小标宋简体" w:hAnsi="方正小标宋简体" w:eastAsia="方正小标宋简体" w:cs="方正小标宋简体"/>
          <w:b w:val="0"/>
          <w:bCs w:val="0"/>
          <w:color w:val="000000"/>
          <w:kern w:val="0"/>
          <w:sz w:val="44"/>
          <w:szCs w:val="44"/>
          <w:lang w:eastAsia="zh-CN"/>
        </w:rPr>
        <w:t>2025</w:t>
      </w:r>
      <w:r>
        <w:rPr>
          <w:rFonts w:hint="eastAsia" w:ascii="方正小标宋简体" w:hAnsi="方正小标宋简体" w:eastAsia="方正小标宋简体" w:cs="方正小标宋简体"/>
          <w:b w:val="0"/>
          <w:bCs w:val="0"/>
          <w:color w:val="000000"/>
          <w:kern w:val="0"/>
          <w:sz w:val="44"/>
          <w:szCs w:val="44"/>
        </w:rPr>
        <w:t>年</w:t>
      </w:r>
      <w:r>
        <w:rPr>
          <w:rFonts w:hint="eastAsia" w:ascii="方正小标宋简体" w:hAnsi="方正小标宋简体" w:eastAsia="方正小标宋简体" w:cs="方正小标宋简体"/>
          <w:b w:val="0"/>
          <w:bCs w:val="0"/>
          <w:color w:val="000000"/>
          <w:kern w:val="0"/>
          <w:sz w:val="44"/>
          <w:szCs w:val="44"/>
          <w:lang w:eastAsia="zh-CN"/>
        </w:rPr>
        <w:t>单位</w:t>
      </w:r>
      <w:r>
        <w:rPr>
          <w:rFonts w:hint="eastAsia" w:ascii="方正小标宋简体" w:hAnsi="方正小标宋简体" w:eastAsia="方正小标宋简体" w:cs="方正小标宋简体"/>
          <w:b w:val="0"/>
          <w:bCs w:val="0"/>
          <w:color w:val="000000"/>
          <w:kern w:val="0"/>
          <w:sz w:val="44"/>
          <w:szCs w:val="44"/>
        </w:rPr>
        <w:t>预算</w:t>
      </w:r>
    </w:p>
    <w:p w14:paraId="5F7730C0">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14:paraId="744466FC">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olor w:val="000000"/>
          <w:sz w:val="32"/>
          <w:szCs w:val="32"/>
        </w:rPr>
      </w:pPr>
    </w:p>
    <w:p w14:paraId="70FEC159">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sz w:val="32"/>
          <w:szCs w:val="32"/>
        </w:rPr>
        <w:fldChar w:fldCharType="end"/>
      </w:r>
      <w:r>
        <w:rPr>
          <w:rFonts w:hint="eastAsia" w:ascii="黑体" w:hAnsi="黑体" w:eastAsia="黑体" w:cs="黑体"/>
          <w:b/>
          <w:bCs/>
          <w:color w:val="000000"/>
          <w:sz w:val="32"/>
          <w:szCs w:val="32"/>
          <w:lang w:eastAsia="zh-CN"/>
        </w:rPr>
        <w:t>关事务保障中心</w:t>
      </w:r>
      <w:r>
        <w:rPr>
          <w:rFonts w:hint="eastAsia" w:ascii="黑体" w:hAnsi="黑体" w:eastAsia="黑体" w:cs="黑体"/>
          <w:b/>
          <w:bCs/>
          <w:color w:val="000000"/>
          <w:sz w:val="32"/>
          <w:szCs w:val="32"/>
        </w:rPr>
        <w:t>概况</w:t>
      </w:r>
    </w:p>
    <w:p w14:paraId="252BD6C6">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14:paraId="696E1669">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04B6B2AB">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关事务保障中心2025</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14:paraId="50344FD4">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4F1BA076">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14:paraId="7FB80AC7">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14:paraId="6790BA76">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7B5003EF">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32E26EFD">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5C2C23A5">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2E25E714">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07EE8523">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p>
    <w:p w14:paraId="0019BA7A">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十、《项目绩效目标表》</w:t>
      </w:r>
    </w:p>
    <w:p w14:paraId="2731E47A">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关事务保障中心2025</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14:paraId="19B15354">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2025</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14:paraId="7EC22066">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2025</w:t>
      </w:r>
      <w:r>
        <w:rPr>
          <w:rFonts w:hint="eastAsia" w:ascii="仿宋_GB2312" w:hAnsi="仿宋_GB2312" w:eastAsia="仿宋_GB2312" w:cs="仿宋_GB2312"/>
          <w:kern w:val="2"/>
          <w:sz w:val="32"/>
          <w:szCs w:val="30"/>
        </w:rPr>
        <w:t>年“三公”经费预算情况说明</w:t>
      </w:r>
    </w:p>
    <w:p w14:paraId="5C2F663F">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14:paraId="20086EDD">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14:paraId="61D28D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color w:val="000000"/>
          <w:sz w:val="32"/>
          <w:szCs w:val="32"/>
        </w:rPr>
      </w:pPr>
      <w:r>
        <w:rPr>
          <w:rFonts w:hint="eastAsia" w:ascii="方正小标宋简体" w:hAnsi="方正小标宋简体" w:eastAsia="方正小标宋简体" w:cs="方正小标宋简体"/>
          <w:b/>
          <w:sz w:val="32"/>
          <w:szCs w:val="30"/>
        </w:rPr>
        <w:t xml:space="preserve">第一部分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关事务保障中心</w:t>
      </w:r>
      <w:r>
        <w:rPr>
          <w:rFonts w:hint="eastAsia" w:ascii="黑体" w:hAnsi="黑体" w:eastAsia="黑体" w:cs="黑体"/>
          <w:b/>
          <w:bCs/>
          <w:color w:val="000000"/>
          <w:sz w:val="32"/>
          <w:szCs w:val="32"/>
        </w:rPr>
        <w:t>概况</w:t>
      </w:r>
    </w:p>
    <w:p w14:paraId="048B803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14:paraId="0269121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14:paraId="777B58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0"/>
        </w:rPr>
      </w:pPr>
      <w:r>
        <w:rPr>
          <w:rFonts w:hint="eastAsia" w:ascii="仿宋_GB2312" w:hAnsi="仿宋" w:eastAsia="仿宋_GB2312" w:cs="Times New Roman"/>
          <w:color w:val="auto"/>
          <w:sz w:val="32"/>
          <w:szCs w:val="32"/>
          <w:highlight w:val="none"/>
          <w:lang w:val="en-US" w:eastAsia="zh-CN"/>
        </w:rPr>
        <w:t>承担市级重大应急调研接待和市直单位综合执法、机要通信应急三个公务用车平台的管理和公务出行保障工作；承担党政机关集中办公区的卫生保洁、环境美化、设施设备维护管理工作；完成上级交办的其他工作任务。</w:t>
      </w:r>
    </w:p>
    <w:p w14:paraId="3B9670B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14:paraId="4E72BB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0"/>
        </w:rPr>
      </w:pPr>
      <w:r>
        <w:rPr>
          <w:rFonts w:hint="eastAsia" w:ascii="仿宋_GB2312" w:hAnsi="仿宋_GB2312" w:eastAsia="仿宋_GB2312" w:cs="仿宋_GB2312"/>
          <w:kern w:val="2"/>
          <w:sz w:val="32"/>
          <w:szCs w:val="30"/>
          <w:lang w:val="en-US" w:eastAsia="zh-CN" w:bidi="ar-SA"/>
        </w:rPr>
        <w:t>2025年景德镇市机关事务保障中心</w:t>
      </w:r>
      <w:r>
        <w:rPr>
          <w:rFonts w:hint="eastAsia" w:ascii="仿宋_GB2312" w:hAnsi="仿宋" w:eastAsia="仿宋_GB2312" w:cs="Times New Roman"/>
          <w:color w:val="auto"/>
          <w:sz w:val="32"/>
          <w:szCs w:val="32"/>
          <w:highlight w:val="none"/>
          <w:lang w:val="en-US" w:eastAsia="zh-CN"/>
        </w:rPr>
        <w:t>核定人员编制规模数 8 名（全额拨款）。核定领导职数：主任（正科级）1 名、副主任（副科级）2 名。</w:t>
      </w:r>
    </w:p>
    <w:p w14:paraId="469100B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编制人数共计8人，其中：全部补助事业编制人数8人。实有人数共计6人，其中：在职人数小计6人，全部补助事业人员在职人数6人。</w:t>
      </w:r>
    </w:p>
    <w:p w14:paraId="54F3108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关事务保障中心</w:t>
      </w:r>
      <w:r>
        <w:rPr>
          <w:rFonts w:hint="eastAsia" w:ascii="方正小标宋简体" w:hAnsi="方正小标宋简体" w:eastAsia="方正小标宋简体" w:cs="方正小标宋简体"/>
          <w:b/>
          <w:sz w:val="32"/>
          <w:szCs w:val="30"/>
          <w:lang w:eastAsia="zh-CN"/>
        </w:rPr>
        <w:t>2025</w:t>
      </w:r>
      <w:r>
        <w:rPr>
          <w:rFonts w:hint="eastAsia" w:ascii="方正小标宋简体" w:hAnsi="方正小标宋简体" w:eastAsia="方正小标宋简体" w:cs="方正小标宋简体"/>
          <w:b/>
          <w:sz w:val="32"/>
          <w:szCs w:val="30"/>
        </w:rPr>
        <w:t>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预算表</w:t>
      </w:r>
    </w:p>
    <w:p w14:paraId="0A8406F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14:paraId="75BA0045">
      <w:r>
        <w:drawing>
          <wp:inline distT="0" distB="0" distL="114300" distR="114300">
            <wp:extent cx="5265420" cy="552323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5420" cy="5523230"/>
                    </a:xfrm>
                    <a:prstGeom prst="rect">
                      <a:avLst/>
                    </a:prstGeom>
                    <a:noFill/>
                    <a:ln>
                      <a:noFill/>
                    </a:ln>
                  </pic:spPr>
                </pic:pic>
              </a:graphicData>
            </a:graphic>
          </wp:inline>
        </w:drawing>
      </w:r>
    </w:p>
    <w:p w14:paraId="7D3AFF2E">
      <w:pPr>
        <w:rPr>
          <w:rFonts w:hint="eastAsia" w:ascii="仿宋_GB2312" w:hAnsi="仿宋_GB2312" w:eastAsia="仿宋_GB2312" w:cs="仿宋_GB2312"/>
          <w:kern w:val="2"/>
          <w:sz w:val="32"/>
          <w:szCs w:val="30"/>
          <w:lang w:val="en-US" w:eastAsia="zh-CN" w:bidi="ar-SA"/>
        </w:rPr>
      </w:pPr>
      <w:r>
        <w:drawing>
          <wp:inline distT="0" distB="0" distL="114300" distR="114300">
            <wp:extent cx="5264785" cy="2331085"/>
            <wp:effectExtent l="0" t="0" r="1206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4785" cy="2331085"/>
                    </a:xfrm>
                    <a:prstGeom prst="rect">
                      <a:avLst/>
                    </a:prstGeom>
                    <a:noFill/>
                    <a:ln>
                      <a:noFill/>
                    </a:ln>
                  </pic:spPr>
                </pic:pic>
              </a:graphicData>
            </a:graphic>
          </wp:inline>
        </w:drawing>
      </w:r>
      <w:r>
        <w:rPr>
          <w:rFonts w:hint="eastAsia" w:ascii="仿宋_GB2312" w:hAnsi="仿宋_GB2312" w:eastAsia="仿宋_GB2312" w:cs="仿宋_GB2312"/>
          <w:kern w:val="2"/>
          <w:sz w:val="32"/>
          <w:szCs w:val="30"/>
          <w:lang w:val="en-US" w:eastAsia="zh-CN" w:bidi="ar-SA"/>
        </w:rPr>
        <w:br w:type="page"/>
      </w:r>
    </w:p>
    <w:p w14:paraId="14DCBB1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4CE093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48FF34D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70D22C5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AAF1DF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3AFEBA8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C76C50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ADF8E4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A151C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CE4E15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-3314700</wp:posOffset>
            </wp:positionV>
            <wp:extent cx="5274310" cy="3615055"/>
            <wp:effectExtent l="0" t="0" r="254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3615055"/>
                    </a:xfrm>
                    <a:prstGeom prst="rect">
                      <a:avLst/>
                    </a:prstGeom>
                    <a:noFill/>
                    <a:ln>
                      <a:noFill/>
                    </a:ln>
                  </pic:spPr>
                </pic:pic>
              </a:graphicData>
            </a:graphic>
          </wp:anchor>
        </w:drawing>
      </w:r>
    </w:p>
    <w:p w14:paraId="0FAE4B9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r>
        <w:drawing>
          <wp:anchor distT="0" distB="0" distL="114300" distR="114300" simplePos="0" relativeHeight="251660288" behindDoc="0" locked="0" layoutInCell="1" allowOverlap="1">
            <wp:simplePos x="0" y="0"/>
            <wp:positionH relativeFrom="column">
              <wp:posOffset>-142875</wp:posOffset>
            </wp:positionH>
            <wp:positionV relativeFrom="paragraph">
              <wp:posOffset>104775</wp:posOffset>
            </wp:positionV>
            <wp:extent cx="5267325" cy="5168265"/>
            <wp:effectExtent l="0" t="0" r="9525" b="133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7325" cy="5168265"/>
                    </a:xfrm>
                    <a:prstGeom prst="rect">
                      <a:avLst/>
                    </a:prstGeom>
                    <a:noFill/>
                    <a:ln>
                      <a:noFill/>
                    </a:ln>
                  </pic:spPr>
                </pic:pic>
              </a:graphicData>
            </a:graphic>
          </wp:anchor>
        </w:drawing>
      </w:r>
    </w:p>
    <w:p w14:paraId="731F068E">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61819658">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278B3986">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722D7605">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57C70C60">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435DABAD">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5F0C9ED7">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1D8144F7">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650335FC">
      <w:pPr>
        <w:keepNext w:val="0"/>
        <w:keepLines w:val="0"/>
        <w:pageBreakBefore w:val="0"/>
        <w:widowControl/>
        <w:kinsoku/>
        <w:wordWrap/>
        <w:overflowPunct/>
        <w:topLinePunct w:val="0"/>
        <w:autoSpaceDE/>
        <w:autoSpaceDN/>
        <w:bidi w:val="0"/>
        <w:adjustRightInd/>
        <w:snapToGrid/>
        <w:spacing w:line="600" w:lineRule="exact"/>
        <w:jc w:val="center"/>
        <w:textAlignment w:val="auto"/>
      </w:pPr>
    </w:p>
    <w:p w14:paraId="6F264C7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rPr>
      </w:pPr>
    </w:p>
    <w:p w14:paraId="506D59F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AC08F1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403909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01D768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r>
        <w:drawing>
          <wp:anchor distT="0" distB="0" distL="114300" distR="114300" simplePos="0" relativeHeight="251662336" behindDoc="0" locked="0" layoutInCell="1" allowOverlap="1">
            <wp:simplePos x="0" y="0"/>
            <wp:positionH relativeFrom="column">
              <wp:posOffset>-80010</wp:posOffset>
            </wp:positionH>
            <wp:positionV relativeFrom="paragraph">
              <wp:posOffset>247015</wp:posOffset>
            </wp:positionV>
            <wp:extent cx="5265420" cy="3622040"/>
            <wp:effectExtent l="0" t="0" r="11430" b="165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5420" cy="362204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-137160</wp:posOffset>
            </wp:positionH>
            <wp:positionV relativeFrom="paragraph">
              <wp:posOffset>-114300</wp:posOffset>
            </wp:positionV>
            <wp:extent cx="5269865" cy="3912235"/>
            <wp:effectExtent l="0" t="0" r="6985" b="1206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69865" cy="3912235"/>
                    </a:xfrm>
                    <a:prstGeom prst="rect">
                      <a:avLst/>
                    </a:prstGeom>
                    <a:noFill/>
                    <a:ln>
                      <a:noFill/>
                    </a:ln>
                  </pic:spPr>
                </pic:pic>
              </a:graphicData>
            </a:graphic>
          </wp:anchor>
        </w:drawing>
      </w:r>
    </w:p>
    <w:p w14:paraId="153C447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5DC5CD2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6A1FA8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3DAAA3C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29B2A5C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2795884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986F4F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51850AB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29BB46C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129F1A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48913E1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588618E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r>
        <w:drawing>
          <wp:anchor distT="0" distB="0" distL="114300" distR="114300" simplePos="0" relativeHeight="251663360" behindDoc="0" locked="0" layoutInCell="1" allowOverlap="1">
            <wp:simplePos x="0" y="0"/>
            <wp:positionH relativeFrom="column">
              <wp:posOffset>-247650</wp:posOffset>
            </wp:positionH>
            <wp:positionV relativeFrom="paragraph">
              <wp:posOffset>285750</wp:posOffset>
            </wp:positionV>
            <wp:extent cx="5267960" cy="761365"/>
            <wp:effectExtent l="0" t="0" r="8890"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7960" cy="761365"/>
                    </a:xfrm>
                    <a:prstGeom prst="rect">
                      <a:avLst/>
                    </a:prstGeom>
                    <a:noFill/>
                    <a:ln>
                      <a:noFill/>
                    </a:ln>
                  </pic:spPr>
                </pic:pic>
              </a:graphicData>
            </a:graphic>
          </wp:anchor>
        </w:drawing>
      </w:r>
    </w:p>
    <w:p w14:paraId="71F9FC9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5F88D9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64BF41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40B0ED1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r>
        <w:drawing>
          <wp:anchor distT="0" distB="0" distL="114300" distR="114300" simplePos="0" relativeHeight="251664384" behindDoc="0" locked="0" layoutInCell="1" allowOverlap="1">
            <wp:simplePos x="0" y="0"/>
            <wp:positionH relativeFrom="column">
              <wp:posOffset>-152400</wp:posOffset>
            </wp:positionH>
            <wp:positionV relativeFrom="paragraph">
              <wp:posOffset>219075</wp:posOffset>
            </wp:positionV>
            <wp:extent cx="5267325" cy="1050290"/>
            <wp:effectExtent l="0" t="0" r="9525" b="1651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7325" cy="1050290"/>
                    </a:xfrm>
                    <a:prstGeom prst="rect">
                      <a:avLst/>
                    </a:prstGeom>
                    <a:noFill/>
                    <a:ln>
                      <a:noFill/>
                    </a:ln>
                  </pic:spPr>
                </pic:pic>
              </a:graphicData>
            </a:graphic>
          </wp:anchor>
        </w:drawing>
      </w:r>
    </w:p>
    <w:p w14:paraId="0533BEE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237D5CA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10BB1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3E09F84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3D24280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60B5660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r>
        <w:drawing>
          <wp:anchor distT="0" distB="0" distL="114300" distR="114300" simplePos="0" relativeHeight="251665408" behindDoc="0" locked="0" layoutInCell="1" allowOverlap="1">
            <wp:simplePos x="0" y="0"/>
            <wp:positionH relativeFrom="column">
              <wp:posOffset>-133350</wp:posOffset>
            </wp:positionH>
            <wp:positionV relativeFrom="paragraph">
              <wp:posOffset>123825</wp:posOffset>
            </wp:positionV>
            <wp:extent cx="5267325" cy="991870"/>
            <wp:effectExtent l="0" t="0" r="9525" b="1778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7325" cy="991870"/>
                    </a:xfrm>
                    <a:prstGeom prst="rect">
                      <a:avLst/>
                    </a:prstGeom>
                    <a:noFill/>
                    <a:ln>
                      <a:noFill/>
                    </a:ln>
                  </pic:spPr>
                </pic:pic>
              </a:graphicData>
            </a:graphic>
          </wp:anchor>
        </w:drawing>
      </w:r>
    </w:p>
    <w:p w14:paraId="01AF319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486D632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3670AA7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7C59A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0C585E6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7B4EEE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190A2FB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2CB9803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3528164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32"/>
          <w:szCs w:val="30"/>
        </w:rPr>
      </w:pPr>
    </w:p>
    <w:p w14:paraId="756F24F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sz w:val="32"/>
          <w:szCs w:val="30"/>
        </w:rPr>
      </w:pPr>
    </w:p>
    <w:p w14:paraId="6759685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sz w:val="32"/>
          <w:szCs w:val="30"/>
        </w:rPr>
      </w:pPr>
    </w:p>
    <w:p w14:paraId="36C3D6F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三</w:t>
      </w:r>
      <w:r>
        <w:rPr>
          <w:rFonts w:hint="eastAsia" w:ascii="方正小标宋简体" w:hAnsi="方正小标宋简体" w:eastAsia="方正小标宋简体" w:cs="方正小标宋简体"/>
          <w:b/>
          <w:sz w:val="32"/>
          <w:szCs w:val="30"/>
        </w:rPr>
        <w:t xml:space="preserve">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关事务保障中心</w:t>
      </w:r>
      <w:r>
        <w:rPr>
          <w:rFonts w:hint="eastAsia" w:ascii="黑体" w:hAnsi="黑体" w:eastAsia="黑体" w:cs="黑体"/>
          <w:b/>
          <w:bCs/>
          <w:color w:val="000000"/>
          <w:sz w:val="32"/>
          <w:szCs w:val="32"/>
          <w:lang w:val="en-US" w:eastAsia="zh-CN"/>
        </w:rPr>
        <w:t xml:space="preserve">                </w:t>
      </w:r>
      <w:r>
        <w:rPr>
          <w:rFonts w:hint="eastAsia" w:ascii="方正小标宋简体" w:hAnsi="方正小标宋简体" w:eastAsia="方正小标宋简体" w:cs="方正小标宋简体"/>
          <w:b/>
          <w:sz w:val="32"/>
          <w:szCs w:val="30"/>
          <w:lang w:eastAsia="zh-CN"/>
        </w:rPr>
        <w:t>2025</w:t>
      </w:r>
      <w:r>
        <w:rPr>
          <w:rFonts w:hint="eastAsia" w:ascii="方正小标宋简体" w:hAnsi="方正小标宋简体" w:eastAsia="方正小标宋简体" w:cs="方正小标宋简体"/>
          <w:b/>
          <w:sz w:val="32"/>
          <w:szCs w:val="30"/>
        </w:rPr>
        <w:t>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预算情况说明</w:t>
      </w:r>
    </w:p>
    <w:p w14:paraId="710B155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eastAsia="仿宋_GB2312"/>
          <w:b/>
          <w:sz w:val="32"/>
          <w:szCs w:val="30"/>
          <w:lang w:val="en-US" w:eastAsia="zh-CN"/>
        </w:rPr>
      </w:pPr>
      <w:r>
        <w:rPr>
          <w:rFonts w:hint="eastAsia" w:ascii="仿宋_GB2312" w:eastAsia="仿宋_GB2312"/>
          <w:b/>
          <w:sz w:val="32"/>
          <w:szCs w:val="30"/>
          <w:lang w:val="en-US" w:eastAsia="zh-CN"/>
        </w:rPr>
        <w:t xml:space="preserve"> </w:t>
      </w:r>
    </w:p>
    <w:p w14:paraId="27A66DE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2025</w:t>
      </w:r>
      <w:r>
        <w:rPr>
          <w:rFonts w:hint="eastAsia" w:ascii="黑体" w:hAnsi="黑体" w:eastAsia="黑体" w:cs="黑体"/>
          <w:b/>
          <w:sz w:val="32"/>
          <w:szCs w:val="32"/>
        </w:rPr>
        <w:t>年</w:t>
      </w:r>
      <w:r>
        <w:rPr>
          <w:rFonts w:hint="eastAsia" w:ascii="黑体" w:hAnsi="黑体" w:eastAsia="黑体" w:cs="黑体"/>
          <w:b/>
          <w:sz w:val="32"/>
          <w:szCs w:val="32"/>
          <w:lang w:eastAsia="zh-CN"/>
        </w:rPr>
        <w:t>单位</w:t>
      </w:r>
      <w:r>
        <w:rPr>
          <w:rFonts w:hint="eastAsia" w:ascii="黑体" w:hAnsi="黑体" w:eastAsia="黑体" w:cs="黑体"/>
          <w:b/>
          <w:sz w:val="32"/>
          <w:szCs w:val="32"/>
        </w:rPr>
        <w:t>预算收支情况说明</w:t>
      </w:r>
    </w:p>
    <w:p w14:paraId="0BBF4E4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ascii="Adobe 仿宋 Std R" w:hAnsi="Adobe 仿宋 Std R" w:eastAsia="Adobe 仿宋 Std R"/>
          <w:b/>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一</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收入预算情况</w:t>
      </w:r>
    </w:p>
    <w:p w14:paraId="2C0C35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2025年景德镇市机关事务保障中心收入预算总额为83.36万元，较上年预算安排增加4.6万元，其中：财政拨款收入83.36万元，较上年预算安排增加4.6万元。</w:t>
      </w:r>
    </w:p>
    <w:p w14:paraId="11FA335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二</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支出预算情况</w:t>
      </w:r>
    </w:p>
    <w:p w14:paraId="62141FC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2025年景德镇市机关事务保障中心支出预算总额为83.36万元，较上年预算安排增加4.6万元；其中：</w:t>
      </w:r>
    </w:p>
    <w:p w14:paraId="4E5937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按支出项目类别划分：基本支出83.36万元，较上年预算安排增加4.6万元；其中：工资福利支出79.76万元，商品和服务支出3.6万元。</w:t>
      </w:r>
    </w:p>
    <w:p w14:paraId="309CF50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功能科目划分：一般公共服务支出66.67万元，较上年预算安排增加1.68万元；社会保障和就业支出8.76万元，较上年预算安排增加1.53万元；卫生健康支出3.54万元，较上年预算安排增加0.63万元；住房保障支出4.38万元，较上年预算安排增加0.76万元。</w:t>
      </w:r>
    </w:p>
    <w:p w14:paraId="483E6D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三</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财政拨款支出情况</w:t>
      </w:r>
    </w:p>
    <w:p w14:paraId="4F562B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2025年景德镇市机关事务保障中心财政拨款支出预算总额83.36万元，较上年预算安排增加4.6万元。</w:t>
      </w:r>
    </w:p>
    <w:p w14:paraId="65DB541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按支出功能科目划分：一般公共服务支出66.67万元，社会保障和就业支出8.76万元，卫生健康支出3.54万元，住房保障支出4.38万元。</w:t>
      </w:r>
    </w:p>
    <w:p w14:paraId="2886920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按支出项目类别划分：基本支出83.36万元，较上年预算安排增加4.6万元；其中：工资福利支出79.76万元，商品和服务支出3.6万元，对个人和家庭的补助0万元。</w:t>
      </w:r>
    </w:p>
    <w:p w14:paraId="39BEAF3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四</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政府性基金情况</w:t>
      </w:r>
    </w:p>
    <w:p w14:paraId="656166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0"/>
          <w:lang w:val="en-US" w:eastAsia="zh-CN" w:bidi="ar-SA"/>
        </w:rPr>
      </w:pPr>
      <w:r>
        <w:rPr>
          <w:rFonts w:hint="eastAsia" w:ascii="仿宋_GB2312" w:hAnsi="仿宋_GB2312" w:eastAsia="仿宋_GB2312" w:cs="仿宋_GB2312"/>
          <w:b w:val="0"/>
          <w:bCs w:val="0"/>
          <w:kern w:val="2"/>
          <w:sz w:val="32"/>
          <w:szCs w:val="30"/>
          <w:lang w:val="en-US" w:eastAsia="zh-CN" w:bidi="ar-SA"/>
        </w:rPr>
        <w:t>本单位没有使用政府性基金预算拨款安排的支出。</w:t>
      </w:r>
    </w:p>
    <w:p w14:paraId="722DEFB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（五）国有资本经营情况</w:t>
      </w:r>
    </w:p>
    <w:p w14:paraId="246D4C2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0"/>
          <w:rFonts w:ascii="仿宋" w:hAnsi="仿宋" w:eastAsia="仿宋"/>
          <w:b w:val="0"/>
          <w:bCs w:val="0"/>
          <w:sz w:val="32"/>
          <w:szCs w:val="32"/>
        </w:rPr>
      </w:pPr>
      <w:r>
        <w:rPr>
          <w:rFonts w:hint="eastAsia" w:ascii="仿宋_GB2312" w:hAnsi="仿宋_GB2312" w:eastAsia="仿宋_GB2312" w:cs="仿宋_GB2312"/>
          <w:b w:val="0"/>
          <w:bCs w:val="0"/>
          <w:kern w:val="2"/>
          <w:sz w:val="32"/>
          <w:szCs w:val="30"/>
          <w:lang w:val="en-US" w:eastAsia="zh-CN" w:bidi="ar-SA"/>
        </w:rPr>
        <w:t>本单位没有使用国有资本经营预算拨款安排的支出。</w:t>
      </w:r>
    </w:p>
    <w:p w14:paraId="7FD78BD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六</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机关运行经费等重要事项的说明</w:t>
      </w:r>
    </w:p>
    <w:p w14:paraId="0E09CEE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仿宋_GB2312"/>
          <w:b w:val="0"/>
          <w:bCs w:val="0"/>
          <w:sz w:val="32"/>
          <w:szCs w:val="32"/>
          <w:lang w:eastAsia="zh-CN"/>
        </w:rPr>
      </w:pPr>
      <w:r>
        <w:rPr>
          <w:rStyle w:val="10"/>
          <w:rFonts w:hint="eastAsia" w:ascii="仿宋_GB2312" w:hAnsi="仿宋_GB2312" w:eastAsia="仿宋_GB2312" w:cs="仿宋_GB2312"/>
          <w:b w:val="0"/>
          <w:bCs w:val="0"/>
          <w:sz w:val="32"/>
          <w:szCs w:val="32"/>
        </w:rPr>
        <w:t>本</w:t>
      </w:r>
      <w:r>
        <w:rPr>
          <w:rStyle w:val="10"/>
          <w:rFonts w:hint="eastAsia" w:ascii="仿宋_GB2312" w:hAnsi="仿宋_GB2312" w:eastAsia="仿宋_GB2312" w:cs="仿宋_GB2312"/>
          <w:b w:val="0"/>
          <w:bCs w:val="0"/>
          <w:sz w:val="32"/>
          <w:szCs w:val="32"/>
          <w:lang w:eastAsia="zh-CN"/>
        </w:rPr>
        <w:t>单位</w:t>
      </w:r>
      <w:r>
        <w:rPr>
          <w:rStyle w:val="10"/>
          <w:rFonts w:hint="eastAsia" w:ascii="仿宋_GB2312" w:hAnsi="仿宋_GB2312" w:eastAsia="仿宋_GB2312" w:cs="仿宋_GB2312"/>
          <w:b w:val="0"/>
          <w:bCs w:val="0"/>
          <w:sz w:val="32"/>
          <w:szCs w:val="32"/>
          <w:lang w:val="en-US" w:eastAsia="zh-CN"/>
        </w:rPr>
        <w:t>非</w:t>
      </w:r>
      <w:r>
        <w:rPr>
          <w:rStyle w:val="10"/>
          <w:rFonts w:hint="eastAsia" w:ascii="仿宋_GB2312" w:hAnsi="仿宋_GB2312" w:eastAsia="仿宋_GB2312" w:cs="仿宋_GB2312"/>
          <w:b w:val="0"/>
          <w:bCs w:val="0"/>
          <w:sz w:val="32"/>
          <w:szCs w:val="32"/>
        </w:rPr>
        <w:t>行政参公单位，无机关运行经费</w:t>
      </w:r>
      <w:r>
        <w:rPr>
          <w:rStyle w:val="10"/>
          <w:rFonts w:hint="eastAsia" w:ascii="仿宋_GB2312" w:hAnsi="仿宋_GB2312" w:eastAsia="仿宋_GB2312" w:cs="仿宋_GB2312"/>
          <w:b w:val="0"/>
          <w:bCs w:val="0"/>
          <w:sz w:val="32"/>
          <w:szCs w:val="32"/>
          <w:lang w:eastAsia="zh-CN"/>
        </w:rPr>
        <w:t>。</w:t>
      </w:r>
    </w:p>
    <w:p w14:paraId="60B9C0D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七</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政府采购情况</w:t>
      </w:r>
    </w:p>
    <w:p w14:paraId="72B4D51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关事务保障中心单位所属各单位政府采购总额0万元，其中：政府采购货物预算0万元，政府采购工程预算0万元，政府采购服务预算0万元。</w:t>
      </w:r>
    </w:p>
    <w:p w14:paraId="16E98A4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八</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国有资产占有使用情况</w:t>
      </w:r>
    </w:p>
    <w:p w14:paraId="1790D9E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w:t>
      </w:r>
      <w:bookmarkStart w:id="0" w:name="_GoBack"/>
      <w:bookmarkEnd w:id="0"/>
      <w:r>
        <w:rPr>
          <w:rFonts w:hint="eastAsia" w:ascii="仿宋_GB2312" w:hAnsi="仿宋_GB2312" w:eastAsia="仿宋_GB2312" w:cs="仿宋_GB2312"/>
          <w:kern w:val="2"/>
          <w:sz w:val="32"/>
          <w:szCs w:val="30"/>
          <w:lang w:val="en-US" w:eastAsia="zh-CN" w:bidi="ar-SA"/>
        </w:rPr>
        <w:t>至2024年8月31日，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14:paraId="62B7AB4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2025年单位预算安排购置车辆0辆</w:t>
      </w:r>
      <w:r>
        <w:rPr>
          <w:rFonts w:hint="eastAsia" w:ascii="仿宋_GB2312" w:hAnsi="仿宋_GB2312" w:eastAsia="仿宋_GB2312" w:cs="仿宋_GB2312"/>
          <w:b w:val="0"/>
          <w:bCs w:val="0"/>
          <w:kern w:val="2"/>
          <w:sz w:val="32"/>
          <w:szCs w:val="30"/>
          <w:lang w:val="en-US" w:eastAsia="zh-CN" w:bidi="ar-SA"/>
        </w:rPr>
        <w:t>，</w:t>
      </w:r>
      <w:r>
        <w:rPr>
          <w:rFonts w:hint="eastAsia" w:ascii="仿宋_GB2312" w:hAnsi="仿宋_GB2312" w:eastAsia="仿宋_GB2312" w:cs="仿宋_GB2312"/>
          <w:b w:val="0"/>
          <w:bCs w:val="0"/>
          <w:sz w:val="32"/>
          <w:szCs w:val="32"/>
          <w:lang w:val="en-US" w:eastAsia="zh-CN"/>
        </w:rPr>
        <w:t>未安排购置单位价值200万元以上大型设备</w:t>
      </w:r>
      <w:r>
        <w:rPr>
          <w:rFonts w:hint="eastAsia" w:ascii="仿宋_GB2312" w:hAnsi="仿宋_GB2312" w:eastAsia="仿宋_GB2312" w:cs="仿宋_GB2312"/>
          <w:b w:val="0"/>
          <w:bCs w:val="0"/>
          <w:kern w:val="2"/>
          <w:sz w:val="32"/>
          <w:szCs w:val="30"/>
          <w:lang w:val="en-US" w:eastAsia="zh-CN" w:bidi="ar-SA"/>
        </w:rPr>
        <w:t>。</w:t>
      </w:r>
    </w:p>
    <w:p w14:paraId="455C33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（九）项目情况说明</w:t>
      </w:r>
    </w:p>
    <w:p w14:paraId="5EA2B8E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Style w:val="10"/>
          <w:rFonts w:hint="eastAsia" w:ascii="仿宋_GB2312" w:hAnsi="仿宋_GB2312" w:eastAsia="仿宋_GB2312" w:cs="仿宋_GB2312"/>
          <w:b w:val="0"/>
          <w:bCs/>
          <w:sz w:val="32"/>
          <w:szCs w:val="32"/>
        </w:rPr>
        <w:t>本</w:t>
      </w:r>
      <w:r>
        <w:rPr>
          <w:rStyle w:val="10"/>
          <w:rFonts w:hint="eastAsia" w:ascii="仿宋_GB2312" w:hAnsi="仿宋_GB2312" w:eastAsia="仿宋_GB2312" w:cs="仿宋_GB2312"/>
          <w:b w:val="0"/>
          <w:bCs/>
          <w:sz w:val="32"/>
          <w:szCs w:val="32"/>
          <w:lang w:eastAsia="zh-CN"/>
        </w:rPr>
        <w:t>单位</w:t>
      </w:r>
      <w:r>
        <w:rPr>
          <w:rStyle w:val="10"/>
          <w:rFonts w:hint="eastAsia" w:ascii="仿宋_GB2312" w:hAnsi="仿宋_GB2312" w:eastAsia="仿宋_GB2312" w:cs="仿宋_GB2312"/>
          <w:b w:val="0"/>
          <w:bCs/>
          <w:sz w:val="32"/>
          <w:szCs w:val="32"/>
        </w:rPr>
        <w:t>本年度未安排项目</w:t>
      </w:r>
    </w:p>
    <w:p w14:paraId="7516F99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eastAsia="zh-CN"/>
        </w:rPr>
        <w:t>2025</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14:paraId="7493A02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关事务保障中心“三公”经费财政拨款安排0万元，其中：</w:t>
      </w:r>
    </w:p>
    <w:p w14:paraId="7CAACB9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因公出国（境）费0万元，比上年增加0万元，主要原因是：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14:paraId="164F626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公务接待费0万元，比上年增加0万元，主要原因是：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14:paraId="4A13AB9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公务用车运行维护费0万元，比上年增加0万元，主要原因是：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14:paraId="299D1F6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公务用车购置费0万元，比上年增加0万元，主要原因是：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 w:val="0"/>
          <w:bCs/>
          <w:kern w:val="2"/>
          <w:sz w:val="32"/>
          <w:szCs w:val="30"/>
          <w:lang w:val="en-US" w:eastAsia="zh-CN" w:bidi="ar-SA"/>
        </w:rPr>
        <w:t>。</w:t>
      </w:r>
    </w:p>
    <w:p w14:paraId="324614D0">
      <w:pPr>
        <w:ind w:firstLine="2570" w:firstLineChars="800"/>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14:paraId="6D80C42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14:paraId="00115419">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14:paraId="2DE27CF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0"/>
          <w:rFonts w:hint="eastAsia" w:ascii="楷体_GB2312" w:hAnsi="楷体_GB2312" w:eastAsia="楷体_GB2312" w:cs="楷体_GB2312"/>
          <w:b/>
          <w:bCs w:val="0"/>
          <w:sz w:val="32"/>
          <w:szCs w:val="32"/>
          <w:lang w:val="en-US" w:eastAsia="zh-CN"/>
        </w:rPr>
        <w:t>（一）</w:t>
      </w:r>
      <w:r>
        <w:rPr>
          <w:rStyle w:val="10"/>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14:paraId="275C865C">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二</w:t>
      </w:r>
      <w:r>
        <w:rPr>
          <w:rStyle w:val="10"/>
          <w:rFonts w:hint="eastAsia" w:ascii="楷体_GB2312" w:hAnsi="楷体_GB2312" w:eastAsia="楷体_GB2312" w:cs="楷体_GB2312"/>
          <w:b/>
          <w:bCs w:val="0"/>
          <w:sz w:val="32"/>
          <w:szCs w:val="32"/>
        </w:rPr>
        <w:t>）事业收入：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14:paraId="27A0067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三</w:t>
      </w:r>
      <w:r>
        <w:rPr>
          <w:rStyle w:val="10"/>
          <w:rFonts w:hint="eastAsia" w:ascii="楷体_GB2312" w:hAnsi="楷体_GB2312" w:eastAsia="楷体_GB2312" w:cs="楷体_GB2312"/>
          <w:b/>
          <w:bCs w:val="0"/>
          <w:sz w:val="32"/>
          <w:szCs w:val="32"/>
        </w:rPr>
        <w:t>）上级补助收入：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14:paraId="2F37E958">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四</w:t>
      </w:r>
      <w:r>
        <w:rPr>
          <w:rStyle w:val="10"/>
          <w:rFonts w:hint="eastAsia" w:ascii="楷体_GB2312" w:hAnsi="楷体_GB2312" w:eastAsia="楷体_GB2312" w:cs="楷体_GB2312"/>
          <w:b/>
          <w:bCs w:val="0"/>
          <w:sz w:val="32"/>
          <w:szCs w:val="32"/>
        </w:rPr>
        <w:t>）其他收入：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14:paraId="209ED11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五</w:t>
      </w:r>
      <w:r>
        <w:rPr>
          <w:rStyle w:val="10"/>
          <w:rFonts w:hint="eastAsia" w:ascii="楷体_GB2312" w:hAnsi="楷体_GB2312" w:eastAsia="楷体_GB2312" w:cs="楷体_GB2312"/>
          <w:b/>
          <w:bCs w:val="0"/>
          <w:sz w:val="32"/>
          <w:szCs w:val="32"/>
        </w:rPr>
        <w:t>）使用非财政拨款结余：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填列历年滚存的非限定用途的非统计财政拨款结余弥补2025年收支差额的数额。</w:t>
      </w:r>
    </w:p>
    <w:p w14:paraId="36FB124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六</w:t>
      </w:r>
      <w:r>
        <w:rPr>
          <w:rStyle w:val="10"/>
          <w:rFonts w:hint="eastAsia" w:ascii="楷体_GB2312" w:hAnsi="楷体_GB2312" w:eastAsia="楷体_GB2312" w:cs="楷体_GB2312"/>
          <w:b/>
          <w:bCs w:val="0"/>
          <w:sz w:val="32"/>
          <w:szCs w:val="32"/>
        </w:rPr>
        <w:t>）上年结转和结余：</w:t>
      </w:r>
      <w:r>
        <w:rPr>
          <w:rFonts w:hint="eastAsia" w:ascii="仿宋_GB2312" w:hAnsi="仿宋_GB2312" w:eastAsia="仿宋_GB2312" w:cs="仿宋_GB2312"/>
          <w:kern w:val="2"/>
          <w:sz w:val="32"/>
          <w:szCs w:val="30"/>
          <w:lang w:val="en-US" w:eastAsia="zh-CN" w:bidi="ar-SA"/>
        </w:rPr>
        <w:t>填列2024年全部结转和结余的资金数，包括当年结转结余资金和历年滚存结转结余资金。</w:t>
      </w:r>
    </w:p>
    <w:p w14:paraId="2D2724F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黑体" w:hAnsi="黑体" w:eastAsia="黑体" w:cs="黑体"/>
          <w:b/>
          <w:sz w:val="32"/>
          <w:szCs w:val="32"/>
        </w:rPr>
        <w:t>二、支出科目</w:t>
      </w:r>
    </w:p>
    <w:p w14:paraId="173AAE0C">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lang w:val="en-US" w:eastAsia="zh-CN"/>
        </w:rPr>
      </w:pPr>
      <w:r>
        <w:rPr>
          <w:rStyle w:val="10"/>
          <w:rFonts w:hint="eastAsia" w:ascii="楷体_GB2312" w:hAnsi="楷体_GB2312" w:eastAsia="楷体_GB2312" w:cs="楷体_GB2312"/>
          <w:b/>
          <w:bCs w:val="0"/>
          <w:sz w:val="32"/>
          <w:szCs w:val="32"/>
          <w:lang w:val="en-US" w:eastAsia="zh-CN"/>
        </w:rPr>
        <w:t>（一）社会保障和就业支出（类）行政事业单位养老支出（款）</w:t>
      </w:r>
    </w:p>
    <w:p w14:paraId="4FE1217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机关事业单位基本养老保险缴费支出（项）：</w:t>
      </w:r>
      <w:r>
        <w:rPr>
          <w:rFonts w:hint="eastAsia" w:ascii="仿宋_GB2312" w:hAnsi="仿宋_GB2312" w:eastAsia="仿宋_GB2312" w:cs="仿宋_GB2312"/>
          <w:kern w:val="2"/>
          <w:sz w:val="32"/>
          <w:szCs w:val="30"/>
          <w:lang w:val="en-US" w:eastAsia="zh-CN" w:bidi="ar-SA"/>
        </w:rPr>
        <w:t>反映机关事业单位实施养老保险制度由单位缴纳的基本养老保险费支出。</w:t>
      </w:r>
    </w:p>
    <w:p w14:paraId="6851850B">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机关事业单位职业年金缴费支出（项）：</w:t>
      </w:r>
      <w:r>
        <w:rPr>
          <w:rFonts w:hint="eastAsia" w:ascii="仿宋_GB2312" w:hAnsi="仿宋_GB2312" w:eastAsia="仿宋_GB2312" w:cs="仿宋_GB2312"/>
          <w:kern w:val="2"/>
          <w:sz w:val="32"/>
          <w:szCs w:val="30"/>
          <w:lang w:val="en-US" w:eastAsia="zh-CN" w:bidi="ar-SA"/>
        </w:rPr>
        <w:t>反映机关事业单位实施养老保险制度由单位实际缴纳的职业年金支出（含职业年金补记支出）。</w:t>
      </w:r>
    </w:p>
    <w:p w14:paraId="05BF2C2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lang w:val="en-US" w:eastAsia="zh-CN"/>
        </w:rPr>
      </w:pPr>
      <w:r>
        <w:rPr>
          <w:rStyle w:val="10"/>
          <w:rFonts w:hint="eastAsia" w:ascii="楷体_GB2312" w:hAnsi="楷体_GB2312" w:eastAsia="楷体_GB2312" w:cs="楷体_GB2312"/>
          <w:b/>
          <w:bCs w:val="0"/>
          <w:sz w:val="32"/>
          <w:szCs w:val="32"/>
          <w:lang w:val="en-US" w:eastAsia="zh-CN"/>
        </w:rPr>
        <w:t>（二）卫生健康支出（类）行政事业单位医疗（款）</w:t>
      </w:r>
    </w:p>
    <w:p w14:paraId="5B3F6508">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事业单位医疗（项）：</w:t>
      </w:r>
      <w:r>
        <w:rPr>
          <w:rFonts w:hint="eastAsia" w:ascii="仿宋_GB2312" w:hAnsi="仿宋_GB2312" w:eastAsia="仿宋_GB2312" w:cs="仿宋_GB2312"/>
          <w:kern w:val="2"/>
          <w:sz w:val="32"/>
          <w:szCs w:val="30"/>
          <w:lang w:val="en-US" w:eastAsia="zh-CN" w:bidi="ar-SA"/>
        </w:rPr>
        <w:t>反映财政部门安排的事业单位基本医疗保险缴费经费，未参加医疗保险的事业单位的公费医疗经费，按国家规定享受离休人员待遇的医疗经费。</w:t>
      </w:r>
    </w:p>
    <w:p w14:paraId="36F1402E">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其他行政事业单位医疗支出（项）：</w:t>
      </w:r>
      <w:r>
        <w:rPr>
          <w:rFonts w:hint="eastAsia" w:ascii="仿宋_GB2312" w:hAnsi="仿宋_GB2312" w:eastAsia="仿宋_GB2312" w:cs="仿宋_GB2312"/>
          <w:kern w:val="2"/>
          <w:sz w:val="32"/>
          <w:szCs w:val="30"/>
          <w:lang w:val="en-US" w:eastAsia="zh-CN" w:bidi="ar-SA"/>
        </w:rPr>
        <w:t>反映除上述项目以外的其他用于行政事业单位医疗方面的支出。</w:t>
      </w:r>
    </w:p>
    <w:p w14:paraId="26B724B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（三）住房保障支出（类）住房改革支出（款）住房公积金（项）：</w:t>
      </w:r>
      <w:r>
        <w:rPr>
          <w:rFonts w:hint="eastAsia" w:ascii="仿宋_GB2312" w:eastAsia="仿宋_GB2312"/>
          <w:color w:val="000000"/>
          <w:sz w:val="32"/>
          <w:szCs w:val="30"/>
          <w:lang w:eastAsia="zh-CN"/>
        </w:rPr>
        <w:t>反映行政事业单位按人力资源和社会保障部、财政部规定的基本工资和津贴补贴以及规定比例为职工缴纳的住房公积金。</w:t>
      </w:r>
    </w:p>
    <w:p w14:paraId="27595E8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14:paraId="191E2B7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450FEF9">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0"/>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F9019F-09F5-4776-8DA2-5C21F66C24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embedRegular r:id="rId2" w:fontKey="{B66CFB98-03B9-4DD7-A34A-537299ACEF42}"/>
  </w:font>
  <w:font w:name="方正小标宋简体">
    <w:panose1 w:val="02000000000000000000"/>
    <w:charset w:val="86"/>
    <w:family w:val="auto"/>
    <w:pitch w:val="default"/>
    <w:sig w:usb0="00000001" w:usb1="080E0000" w:usb2="00000000" w:usb3="00000000" w:csb0="00040000" w:csb1="00000000"/>
    <w:embedRegular r:id="rId3" w:fontKey="{2EDA9E18-F48F-4A3F-837E-BDB21F8CBA89}"/>
  </w:font>
  <w:font w:name="仿宋_GB2312">
    <w:panose1 w:val="02010609030101010101"/>
    <w:charset w:val="86"/>
    <w:family w:val="auto"/>
    <w:pitch w:val="default"/>
    <w:sig w:usb0="00000001" w:usb1="080E0000" w:usb2="00000000" w:usb3="00000000" w:csb0="00040000" w:csb1="00000000"/>
    <w:embedRegular r:id="rId4" w:fontKey="{3495B564-7126-42A1-9A84-682D19187E48}"/>
  </w:font>
  <w:font w:name="Adobe 仿宋 Std R">
    <w:altName w:val="仿宋"/>
    <w:panose1 w:val="00000000000000000000"/>
    <w:charset w:val="86"/>
    <w:family w:val="roman"/>
    <w:pitch w:val="default"/>
    <w:sig w:usb0="00000000" w:usb1="00000000" w:usb2="00000016" w:usb3="00000000" w:csb0="00060007" w:csb1="00000000"/>
    <w:embedRegular r:id="rId5" w:fontKey="{B9377D5E-61DD-4A56-BCFA-7FAC55CBEAB5}"/>
  </w:font>
  <w:font w:name="仿宋">
    <w:panose1 w:val="02010609060101010101"/>
    <w:charset w:val="86"/>
    <w:family w:val="modern"/>
    <w:pitch w:val="default"/>
    <w:sig w:usb0="800002BF" w:usb1="38CF7CFA" w:usb2="00000016" w:usb3="00000000" w:csb0="00040001" w:csb1="00000000"/>
    <w:embedRegular r:id="rId6" w:fontKey="{D8F79B8E-DC99-4263-BA6B-49AD66C75993}"/>
  </w:font>
  <w:font w:name="楷体_GB2312">
    <w:panose1 w:val="02010609030101010101"/>
    <w:charset w:val="86"/>
    <w:family w:val="auto"/>
    <w:pitch w:val="default"/>
    <w:sig w:usb0="00000001" w:usb1="080E0000" w:usb2="00000000" w:usb3="00000000" w:csb0="00040000" w:csb1="00000000"/>
    <w:embedRegular r:id="rId7" w:fontKey="{2FFECA91-8933-4E3D-A072-AC006BC2084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6F2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3YWNmZWRmNmZhZGUxYmY3ZDJjYjM1ZWVjNjgxNzE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D969DD"/>
    <w:rsid w:val="06483D8D"/>
    <w:rsid w:val="067A6028"/>
    <w:rsid w:val="09B428D7"/>
    <w:rsid w:val="0C97247A"/>
    <w:rsid w:val="0DB3098E"/>
    <w:rsid w:val="0F8E55BD"/>
    <w:rsid w:val="191C2A45"/>
    <w:rsid w:val="1C09434C"/>
    <w:rsid w:val="1D3B2063"/>
    <w:rsid w:val="206D0602"/>
    <w:rsid w:val="22430342"/>
    <w:rsid w:val="22837C9C"/>
    <w:rsid w:val="25B931E9"/>
    <w:rsid w:val="2828673B"/>
    <w:rsid w:val="2C3F62CD"/>
    <w:rsid w:val="2C57797E"/>
    <w:rsid w:val="3328400E"/>
    <w:rsid w:val="3A841EE9"/>
    <w:rsid w:val="3A9F1A72"/>
    <w:rsid w:val="3B7D1841"/>
    <w:rsid w:val="3EB026CE"/>
    <w:rsid w:val="3F383632"/>
    <w:rsid w:val="4052753A"/>
    <w:rsid w:val="4A901356"/>
    <w:rsid w:val="4D952000"/>
    <w:rsid w:val="50583FB6"/>
    <w:rsid w:val="50FA4E28"/>
    <w:rsid w:val="53516268"/>
    <w:rsid w:val="562E4844"/>
    <w:rsid w:val="56C47F55"/>
    <w:rsid w:val="5CF87539"/>
    <w:rsid w:val="614747D1"/>
    <w:rsid w:val="63E33020"/>
    <w:rsid w:val="6BE248E5"/>
    <w:rsid w:val="6EDB6140"/>
    <w:rsid w:val="6FB901C7"/>
    <w:rsid w:val="71001F2A"/>
    <w:rsid w:val="730D7541"/>
    <w:rsid w:val="73A85115"/>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588</Words>
  <Characters>615</Characters>
  <Lines>51</Lines>
  <Paragraphs>14</Paragraphs>
  <TotalTime>64</TotalTime>
  <ScaleCrop>false</ScaleCrop>
  <LinksUpToDate>false</LinksUpToDate>
  <CharactersWithSpaces>664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阿静</cp:lastModifiedBy>
  <cp:lastPrinted>2024-02-05T02:35:00Z</cp:lastPrinted>
  <dcterms:modified xsi:type="dcterms:W3CDTF">2025-02-24T02:11:24Z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26856AD12D2B426282A6CAC3B8845BFD_12</vt:lpwstr>
  </property>
  <property fmtid="{D5CDD505-2E9C-101B-9397-08002B2CF9AE}" pid="4" name="KSOTemplateDocerSaveRecord">
    <vt:lpwstr>eyJoZGlkIjoiNzdjNWIxZmQ2M2M1OWUwNjJjMjgyNzdhY2JiNGM5MDEiLCJ1c2VySWQiOiIzMTQ1NzEwNjMifQ==</vt:lpwstr>
  </property>
</Properties>
</file>